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9a71" w14:textId="f9d9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Жетісу облысы Панфилов ауданы әкімдігінің 2026 жылғы 16 ақпандағы № 51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"Панфилов ауданының жұмыспен қамту және әлеуметтік бағдарламалар бөлімі"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қаулының Панфилов ауданының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 әкімдігінің 2026 жылғы "____" ____________ №____ қаулысына 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арнаулы әлеуметтік қызмет көрсету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психоневрологиялық ауытқулары бар үш жастан он сегіз жасқа дейінгі мүгедектігі бар балалар;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тірек-қимыл аппараты бұзылған үш жастан он сегіз жасқа дейінгі мүгедектігі бар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психоневрологиялық аурулары бар он сегіз жастан асқан мүгедектігі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бірінші және екінші топтағы мүгедектігі бар адамдар;</w:t>
            </w:r>
          </w:p>
          <w:p>
            <w:pPr>
              <w:spacing w:after="20"/>
              <w:ind w:left="20"/>
              <w:jc w:val="both"/>
            </w:pPr>
            <w:r>
              <w:rPr>
                <w:rFonts w:ascii="Times New Roman"/>
                <w:b w:val="false"/>
                <w:i w:val="false"/>
                <w:color w:val="000000"/>
                <w:sz w:val="20"/>
              </w:rPr>
              <w:t>
5) егде жасына байланысты өзіне қызмет көрсетуге мүмкіндігі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жағдайларда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1) психоневрологиялық ауытқулары бар бір жарым жастан он сегіз жасқа дейінгі мүгедектігі бар балалар;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тірек-қимыл аппараты бұзылған бір жарым жастан он сегіз жасқа дейінгі мүгедектігі бар балалар;</w:t>
            </w:r>
          </w:p>
          <w:p>
            <w:pPr>
              <w:spacing w:after="20"/>
              <w:ind w:left="20"/>
              <w:jc w:val="both"/>
            </w:pPr>
            <w:r>
              <w:rPr>
                <w:rFonts w:ascii="Times New Roman"/>
                <w:b w:val="false"/>
                <w:i w:val="false"/>
                <w:color w:val="000000"/>
                <w:sz w:val="20"/>
              </w:rPr>
              <w:t>
3) психоневрологиялық аурулары бар он сегіз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