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1f27" w14:textId="9e71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жылы ғылыми тағылымдамадан өту конкурсына қатысу үшін үміткерлердің құжаттарын қабылдау және конкурс өткізу мерзімдері мен ғылыми тағылымдамадан өту үшін ұсынылатын шетелдік жетекші жоғары және (немесе) жоғары оқу орнынан кейінгі білім беру ұйымдарының, ғылыми орталықтардың және өзге де ұйымдардың тізімін бекіту туралы" Қазақстан Республикасы Ғылым және жоғары білім министрінің 2026 жылғы 2 сәуірдегі № 168 бұйрығына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14 шiлдедегi № 337 бұйрығы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және 2026 жылы шетелдік жетекші жоғары және (немесе) жоғары оқу орнынан кейінгі білім беру ұйымдарының, ғылыми орталықтардың және өзге де ұйымдардың тізімін кеңейту мақсатында БҰЙЫРАМЫН:</w:t>
      </w:r>
    </w:p>
    <w:bookmarkEnd w:id="0"/>
    <w:bookmarkStart w:name="z5" w:id="1"/>
    <w:p>
      <w:pPr>
        <w:spacing w:after="0"/>
        <w:ind w:left="0"/>
        <w:jc w:val="both"/>
      </w:pPr>
      <w:r>
        <w:rPr>
          <w:rFonts w:ascii="Times New Roman"/>
          <w:b w:val="false"/>
          <w:i w:val="false"/>
          <w:color w:val="000000"/>
          <w:sz w:val="28"/>
        </w:rPr>
        <w:t xml:space="preserve">
      1. "2026 жылы ғылыми тағылымдамадан өту конкурсына қатысу үшін үміткерлердің құжаттарын қабылдау және конкурс өткізу мерзімдері мен ғылыми тағылымдамадан өту үшін ұсынылатын шетелдік жетекші жоғары және (немесе) жоғары оқу орнынан кейінгі білім беру ұйымдарының, ғылыми орталықтардың және өзге де ұйымдардың тізімін бекіту туралы" Қазақстан Республикасы Ғылым және жоғары білім министрінің 2026 жылғы 2 сәуірдегі № 168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 </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2026 жылға арналған шетелдік жоғары және (немесе) жоғары оқу орнынан кейінгі білім беру ұйымдарының, ғылыми орталықтардың және ғылыми тағылымдамадан өту үшін ұсынылатын өзге де ұйымдардың </w:t>
      </w:r>
      <w:r>
        <w:rPr>
          <w:rFonts w:ascii="Times New Roman"/>
          <w:b w:val="false"/>
          <w:i w:val="false"/>
          <w:color w:val="000000"/>
          <w:sz w:val="28"/>
        </w:rPr>
        <w:t>тізімінде:</w:t>
      </w:r>
      <w:r>
        <w:rPr>
          <w:rFonts w:ascii="Times New Roman"/>
          <w:b w:val="false"/>
          <w:i w:val="false"/>
          <w:color w:val="000000"/>
          <w:sz w:val="28"/>
        </w:rPr>
        <w:t xml:space="preserve"> </w:t>
      </w:r>
    </w:p>
    <w:bookmarkEnd w:id="2"/>
    <w:bookmarkStart w:name="z7" w:id="3"/>
    <w:p>
      <w:pPr>
        <w:spacing w:after="0"/>
        <w:ind w:left="0"/>
        <w:jc w:val="both"/>
      </w:pPr>
      <w:r>
        <w:rPr>
          <w:rFonts w:ascii="Times New Roman"/>
          <w:b w:val="false"/>
          <w:i w:val="false"/>
          <w:color w:val="000000"/>
          <w:sz w:val="28"/>
        </w:rPr>
        <w:t>
      1-тарау Ғылыми зерттеулердің барлық бағыттары бойынша ғылыми тағылымдамадан өту үшін жетекші шетелдік жоғары оқу орындары:</w:t>
      </w:r>
    </w:p>
    <w:bookmarkEnd w:id="3"/>
    <w:bookmarkStart w:name="z8" w:id="4"/>
    <w:p>
      <w:pPr>
        <w:spacing w:after="0"/>
        <w:ind w:left="0"/>
        <w:jc w:val="both"/>
      </w:pPr>
      <w:r>
        <w:rPr>
          <w:rFonts w:ascii="Times New Roman"/>
          <w:b w:val="false"/>
          <w:i w:val="false"/>
          <w:color w:val="000000"/>
          <w:sz w:val="28"/>
        </w:rPr>
        <w:t>
      мынадай мазмұндағы реттік нөмірлері 439 және 440-жолдармен толықтырылсын:</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Ковентри университеті (Сoventry University)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1.1, 1.2, 1.3, 1.4, 1.5, 1.10, 1.11, 1.12, 1.25, 1.26</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2.2, 2.3, 2.6, 2.8, 2.13, 2.17, 2.18, 2.19, 2.20, 2.25, 2.26, 2.28, 2.38, 2.40, 2.41</w:t>
            </w:r>
          </w:p>
          <w:p>
            <w:pPr>
              <w:spacing w:after="20"/>
              <w:ind w:left="20"/>
              <w:jc w:val="both"/>
            </w:pPr>
            <w:r>
              <w:rPr>
                <w:rFonts w:ascii="Times New Roman"/>
                <w:b w:val="false"/>
                <w:i w:val="false"/>
                <w:color w:val="000000"/>
                <w:sz w:val="20"/>
              </w:rPr>
              <w:t>
</w:t>
            </w:r>
            <w:r>
              <w:rPr>
                <w:rFonts w:ascii="Times New Roman"/>
                <w:b w:val="false"/>
                <w:i w:val="false"/>
                <w:color w:val="000000"/>
                <w:sz w:val="20"/>
              </w:rPr>
              <w:t>3.1, 3.4, 3.6, 3.7, 3.9, 3.11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4.1.1.1, 4.1.1.2, 4.1.1.3, 4.1.1.4, 4.1.1.5, 4.1.1.6, </w:t>
            </w:r>
          </w:p>
          <w:p>
            <w:pPr>
              <w:spacing w:after="20"/>
              <w:ind w:left="20"/>
              <w:jc w:val="both"/>
            </w:pPr>
            <w:r>
              <w:rPr>
                <w:rFonts w:ascii="Times New Roman"/>
                <w:b w:val="false"/>
                <w:i w:val="false"/>
                <w:color w:val="000000"/>
                <w:sz w:val="20"/>
              </w:rPr>
              <w:t>
</w:t>
            </w:r>
            <w:r>
              <w:rPr>
                <w:rFonts w:ascii="Times New Roman"/>
                <w:b w:val="false"/>
                <w:i w:val="false"/>
                <w:color w:val="000000"/>
                <w:sz w:val="20"/>
              </w:rPr>
              <w:t>4.2.2.7</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4.4.4.1, 4.4.4.2, 4.4.4.6, 4.4.4.9</w:t>
            </w:r>
          </w:p>
          <w:p>
            <w:pPr>
              <w:spacing w:after="20"/>
              <w:ind w:left="20"/>
              <w:jc w:val="both"/>
            </w:pPr>
            <w:r>
              <w:rPr>
                <w:rFonts w:ascii="Times New Roman"/>
                <w:b w:val="false"/>
                <w:i w:val="false"/>
                <w:color w:val="000000"/>
                <w:sz w:val="20"/>
              </w:rPr>
              <w:t>
</w:t>
            </w:r>
            <w:r>
              <w:rPr>
                <w:rFonts w:ascii="Times New Roman"/>
                <w:b w:val="false"/>
                <w:i w:val="false"/>
                <w:color w:val="000000"/>
                <w:sz w:val="20"/>
              </w:rPr>
              <w:t>4.4.4.10</w:t>
            </w:r>
          </w:p>
          <w:p>
            <w:pPr>
              <w:spacing w:after="20"/>
              <w:ind w:left="20"/>
              <w:jc w:val="both"/>
            </w:pPr>
            <w:r>
              <w:rPr>
                <w:rFonts w:ascii="Times New Roman"/>
                <w:b w:val="false"/>
                <w:i w:val="false"/>
                <w:color w:val="000000"/>
                <w:sz w:val="20"/>
              </w:rPr>
              <w:t>
5.1, 5.2, 5.3, 5.5, 5.7, 5.8, 5.9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Шэньчжэндегі Гонконг Қытай университеті (The Chinese University of Hong Kong, Shenzhen)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1.2, 1.24, 1.25, 1.26</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2.1, 2.3, 2.5, 2.8, 2.9, 2.10, 2.26, 2.27, 2.38, 2.39, 2.40, 2.41, 2.42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3.1, 3.3, 3.6, 3.7, 3.9, 3.11, 3.13, 3.15, 3.17, 3.18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4.1.1.1, 4.1.1.2, 4.1.1.3, 4.1.1.4, 4.1.1.6</w:t>
            </w:r>
          </w:p>
          <w:p>
            <w:pPr>
              <w:spacing w:after="20"/>
              <w:ind w:left="20"/>
              <w:jc w:val="both"/>
            </w:pPr>
            <w:r>
              <w:rPr>
                <w:rFonts w:ascii="Times New Roman"/>
                <w:b w:val="false"/>
                <w:i w:val="false"/>
                <w:color w:val="000000"/>
                <w:sz w:val="20"/>
              </w:rPr>
              <w:t>
</w:t>
            </w:r>
            <w:r>
              <w:rPr>
                <w:rFonts w:ascii="Times New Roman"/>
                <w:b w:val="false"/>
                <w:i w:val="false"/>
                <w:color w:val="000000"/>
                <w:sz w:val="20"/>
              </w:rPr>
              <w:t>4.2</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5.2, 5.3, 5.4, 5.5, 5.6, 5.8, 5.9, 5.10</w:t>
            </w:r>
          </w:p>
          <w:p>
            <w:pPr>
              <w:spacing w:after="20"/>
              <w:ind w:left="20"/>
              <w:jc w:val="both"/>
            </w:pPr>
            <w:r>
              <w:rPr>
                <w:rFonts w:ascii="Times New Roman"/>
                <w:b w:val="false"/>
                <w:i w:val="false"/>
                <w:color w:val="000000"/>
                <w:sz w:val="20"/>
              </w:rPr>
              <w:t>
6.13</w:t>
            </w:r>
          </w:p>
        </w:tc>
      </w:tr>
    </w:tbl>
    <w:bookmarkStart w:name="z26" w:id="8"/>
    <w:p>
      <w:pPr>
        <w:spacing w:after="0"/>
        <w:ind w:left="0"/>
        <w:jc w:val="both"/>
      </w:pPr>
      <w:r>
        <w:rPr>
          <w:rFonts w:ascii="Times New Roman"/>
          <w:b w:val="false"/>
          <w:i w:val="false"/>
          <w:color w:val="000000"/>
          <w:sz w:val="28"/>
        </w:rPr>
        <w:t>
      ".</w:t>
      </w:r>
    </w:p>
    <w:bookmarkEnd w:id="8"/>
    <w:bookmarkStart w:name="z27" w:id="9"/>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9"/>
    <w:bookmarkStart w:name="z28" w:id="10"/>
    <w:p>
      <w:pPr>
        <w:spacing w:after="0"/>
        <w:ind w:left="0"/>
        <w:jc w:val="both"/>
      </w:pPr>
      <w:r>
        <w:rPr>
          <w:rFonts w:ascii="Times New Roman"/>
          <w:b w:val="false"/>
          <w:i w:val="false"/>
          <w:color w:val="000000"/>
          <w:sz w:val="28"/>
        </w:rPr>
        <w:t>
      1) осы бұйрыққа қол қойылған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0"/>
    <w:bookmarkStart w:name="z29"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11"/>
    <w:bookmarkStart w:name="z30"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2"/>
    <w:bookmarkStart w:name="z31" w:id="13"/>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