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4a9c" w14:textId="47d4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"Б" корпусы мемлекеттік әкімшілік қызметшілерінің қызметін бағалау әдістемесін бекіту туралы" Қазақстан Республикасы Ғылым және жоғары білім министрі міндетін атқарушысының 2023 жылғы 31 наурыздағы № 103-к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27 ақпандағы № 271-к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"Б" корпусы мемлекеттік әкімшілік қызметшілерінің қызметін бағалау әдістемесін бекіту туралы" Қазақстан Республикасы Ғылым және жоғары білім министрі міндетін атқарушысының 2023 жылғы 31 наурыздағы № 103-к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Ғылым және жоғары білім министрлігінің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8" w:id="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цифрлық жүйе (бұдан әрі – цифрлық жүйе) арқылы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10" w:id="4"/>
    <w:p>
      <w:pPr>
        <w:spacing w:after="0"/>
        <w:ind w:left="0"/>
        <w:jc w:val="both"/>
      </w:pPr>
      <w:r>
        <w:rPr>
          <w:rFonts w:ascii="Times New Roman"/>
          <w:b w:val="false"/>
          <w:i w:val="false"/>
          <w:color w:val="000000"/>
          <w:sz w:val="28"/>
        </w:rPr>
        <w:t>
      "5. Қорытынды баға күнтізбелік жылдың есепті тоқсандары бойынша "Б" корпусы мемлекеттік әкімшілік қызметшісінің орташа бағасы негізінде цифрлық жүйеде автоматты түрде қалыптастырылады.";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цифплық жүйе арқылы қамтамасыз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14" w:id="6"/>
    <w:p>
      <w:pPr>
        <w:spacing w:after="0"/>
        <w:ind w:left="0"/>
        <w:jc w:val="both"/>
      </w:pPr>
      <w:r>
        <w:rPr>
          <w:rFonts w:ascii="Times New Roman"/>
          <w:b w:val="false"/>
          <w:i w:val="false"/>
          <w:color w:val="000000"/>
          <w:sz w:val="28"/>
        </w:rPr>
        <w:t>
      "10. Бағаланатын қызметші өзінің бағалау нәтижелерін цифрлық жүйеде, сондай-ақ "Е-қызмет" мобильді қосымша арқылы 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цифрлық жүйеде сақталады.";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18" w:id="8"/>
    <w:p>
      <w:pPr>
        <w:spacing w:after="0"/>
        <w:ind w:left="0"/>
        <w:jc w:val="both"/>
      </w:pPr>
      <w:r>
        <w:rPr>
          <w:rFonts w:ascii="Times New Roman"/>
          <w:b w:val="false"/>
          <w:i w:val="false"/>
          <w:color w:val="000000"/>
          <w:sz w:val="28"/>
        </w:rPr>
        <w:t>
      "18. Бағалаушы адамға бағалау парағы персоналды басқару қызметімен цифрлық жүйе арқылы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бесінші бөлігі мынадай редакцияда жазылсын:</w:t>
      </w:r>
    </w:p>
    <w:bookmarkStart w:name="z20" w:id="9"/>
    <w:p>
      <w:pPr>
        <w:spacing w:after="0"/>
        <w:ind w:left="0"/>
        <w:jc w:val="both"/>
      </w:pPr>
      <w:r>
        <w:rPr>
          <w:rFonts w:ascii="Times New Roman"/>
          <w:b w:val="false"/>
          <w:i w:val="false"/>
          <w:color w:val="000000"/>
          <w:sz w:val="28"/>
        </w:rPr>
        <w:t>
      "23.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цифрлық жүйеге (техникалық мүмкіндік болған жағдайда) орналастырылуын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4-тармақ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Бағалаушы адамның еңбек тәртібін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w:t>
            </w:r>
            <w:r>
              <w:rPr>
                <w:rFonts w:ascii="Times New Roman"/>
                <w:b/>
                <w:i w:val="false"/>
                <w:color w:val="000000"/>
                <w:sz w:val="20"/>
              </w:rPr>
              <w:t>Есепке алынады:</w:t>
            </w:r>
          </w:p>
          <w:bookmarkEnd w:id="10"/>
          <w:p>
            <w:pPr>
              <w:spacing w:after="20"/>
              <w:ind w:left="20"/>
              <w:jc w:val="both"/>
            </w:pPr>
            <w:r>
              <w:rPr>
                <w:rFonts w:ascii="Times New Roman"/>
                <w:b w:val="false"/>
                <w:i w:val="false"/>
                <w:color w:val="000000"/>
                <w:sz w:val="20"/>
              </w:rPr>
              <w:t>
</w:t>
            </w:r>
            <w:r>
              <w:rPr>
                <w:rFonts w:ascii="Times New Roman"/>
                <w:b/>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қызметтік әдеп </w:t>
            </w:r>
            <w:r>
              <w:rPr>
                <w:rFonts w:ascii="Times New Roman"/>
                <w:b/>
                <w:i w:val="false"/>
                <w:color w:val="000000"/>
                <w:sz w:val="20"/>
              </w:rPr>
              <w:t>бұзушылықтардың болмауы;</w:t>
            </w:r>
          </w:p>
          <w:p>
            <w:pPr>
              <w:spacing w:after="20"/>
              <w:ind w:left="20"/>
              <w:jc w:val="both"/>
            </w:pPr>
            <w:r>
              <w:rPr>
                <w:rFonts w:ascii="Times New Roman"/>
                <w:b w:val="false"/>
                <w:i w:val="false"/>
                <w:color w:val="000000"/>
                <w:sz w:val="20"/>
              </w:rPr>
              <w:t>
</w:t>
            </w:r>
            <w:r>
              <w:rPr>
                <w:rFonts w:ascii="Times New Roman"/>
                <w:b/>
                <w:i w:val="false"/>
                <w:color w:val="000000"/>
                <w:sz w:val="20"/>
              </w:rPr>
              <w:t>- киберқауіпсіздік талаптарын сақтау;</w:t>
            </w:r>
          </w:p>
          <w:p>
            <w:pPr>
              <w:spacing w:after="20"/>
              <w:ind w:left="20"/>
              <w:jc w:val="both"/>
            </w:pPr>
            <w:r>
              <w:rPr>
                <w:rFonts w:ascii="Times New Roman"/>
                <w:b w:val="false"/>
                <w:i w:val="false"/>
                <w:color w:val="000000"/>
                <w:sz w:val="20"/>
              </w:rPr>
              <w:t>
</w:t>
            </w:r>
            <w:r>
              <w:rPr>
                <w:rFonts w:ascii="Times New Roman"/>
                <w:b/>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мемлекеттік органның регламентің сақталуы немесе осы параметр бойынша мемлекеттік органның әдістемесінде айқындалған өзге </w:t>
            </w:r>
            <w:r>
              <w:rPr>
                <w:rFonts w:ascii="Times New Roman"/>
                <w:b/>
                <w:i w:val="false"/>
                <w:color w:val="000000"/>
                <w:sz w:val="20"/>
              </w:rPr>
              <w:t>де фактілер.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4-тармақ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Еңбек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w:t>
            </w:r>
            <w:r>
              <w:rPr>
                <w:rFonts w:ascii="Times New Roman"/>
                <w:b/>
                <w:i w:val="false"/>
                <w:color w:val="000000"/>
                <w:sz w:val="20"/>
              </w:rPr>
              <w:t>Есепке алынады:</w:t>
            </w:r>
          </w:p>
          <w:bookmarkEnd w:id="11"/>
          <w:p>
            <w:pPr>
              <w:spacing w:after="20"/>
              <w:ind w:left="20"/>
              <w:jc w:val="both"/>
            </w:pPr>
            <w:r>
              <w:rPr>
                <w:rFonts w:ascii="Times New Roman"/>
                <w:b w:val="false"/>
                <w:i w:val="false"/>
                <w:color w:val="000000"/>
                <w:sz w:val="20"/>
              </w:rPr>
              <w:t>
</w:t>
            </w:r>
            <w:r>
              <w:rPr>
                <w:rFonts w:ascii="Times New Roman"/>
                <w:b/>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i w:val="false"/>
                <w:color w:val="000000"/>
                <w:sz w:val="20"/>
              </w:rPr>
              <w:t>- киберқауіпсіздік талаптарын сақтау;</w:t>
            </w:r>
          </w:p>
          <w:p>
            <w:pPr>
              <w:spacing w:after="20"/>
              <w:ind w:left="20"/>
              <w:jc w:val="both"/>
            </w:pPr>
            <w:r>
              <w:rPr>
                <w:rFonts w:ascii="Times New Roman"/>
                <w:b w:val="false"/>
                <w:i w:val="false"/>
                <w:color w:val="000000"/>
                <w:sz w:val="20"/>
              </w:rPr>
              <w:t>
</w:t>
            </w:r>
            <w:r>
              <w:rPr>
                <w:rFonts w:ascii="Times New Roman"/>
                <w:b/>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органның регламентің сақталуы немесе осы параметр бойынша мемлекеттік органның әдістемесінде айқындалған өзге де фактілер.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r>
    </w:tbl>
    <w:bookmarkStart w:name="z35" w:id="12"/>
    <w:p>
      <w:pPr>
        <w:spacing w:after="0"/>
        <w:ind w:left="0"/>
        <w:jc w:val="both"/>
      </w:pPr>
      <w:r>
        <w:rPr>
          <w:rFonts w:ascii="Times New Roman"/>
          <w:b w:val="false"/>
          <w:i w:val="false"/>
          <w:color w:val="000000"/>
          <w:sz w:val="28"/>
        </w:rPr>
        <w:t>
      2. Қазақстан Республикасы Ғылым және жоғары білім министрлігінің Персоналды дамыту және басқару департаменті заңнамада белгіленген тәртіппен:</w:t>
      </w:r>
    </w:p>
    <w:bookmarkEnd w:id="12"/>
    <w:bookmarkStart w:name="z36" w:id="1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3"/>
    <w:bookmarkStart w:name="z37" w:id="1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14"/>
    <w:bookmarkStart w:name="z38" w:id="15"/>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министрлігінің Аппарат басшысына жүктелсін.</w:t>
      </w:r>
    </w:p>
    <w:bookmarkEnd w:id="15"/>
    <w:bookmarkStart w:name="z39" w:id="1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