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1395" w14:textId="a541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2025 жылғы 31 желтоқсандағы XLII сессиясының "2026-2028 жылдарға арналған кенттер, ауылдық округтер бюджеттері туралы" № 255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26 мамырдағы № 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"2026-2028 жылдарға арнаған кенттер, ауылдық округтер бюджеттері туралы" 2025 жылғы 31 желтоқсандағы №255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267 821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248 768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-27 334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27334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752 775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59 156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693 619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803 043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-50 268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50 268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50 268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130 908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128 427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131 532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353 281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20 071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333 210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354 004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723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101 528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16 595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84 933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108 021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-6 493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6 493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6 493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161 293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9 228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152 065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169 478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-8 185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8 185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8 185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80 407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76 768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89 805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-9 398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9 398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9 398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91 415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88 894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94 887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-3 472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3 472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3 472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83 328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76 490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91 570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-8 242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8 242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88 743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48 067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40 676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131 121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-42378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42 378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42 378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329 098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24 531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304 567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350 829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-21 731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21 731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21 731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198 547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206 633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-8 086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89 471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82 948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97 378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-7 907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7 907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7 907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898 972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36 025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862 947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911 190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12 218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12 218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91 406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83 313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97 803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-6 397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6 397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6 397 мың теңге.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