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70d3b" w14:textId="a770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бұйрығына өзгерістер енгізу туралы" Қазақстан Республикасы Әділет министрінің 2022 жылғы 9 қарашадағы № 920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2026 жылғы 13 мамырдағы № 445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Әділет министрлігінің Сот сараптамалары орталығы" РМҚК көлік құралдары, телефон байланысы, кеңсе жиһаздары және оларды орналастыруға арналған алаңдармен қамтамасыз етудің заттай нормаларын бекіту туралы" Қазақстан Республикасы Әділет министрінің 2018 жылғы 29 желтоқсандағы № 1648 бұйрығына өзгерістер енгізу туралы" Қазақстан Республикасы Әділет министрінің 2022 жылғы 9 қарашадағы № 920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тәртіпте осы бұйрықты мемлекеттік тіркеуді және Қазақстан Республикасы Әділет министрлігінің ресми интернет-ресурсына жариялауды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Сәрсембаев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