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bab3" w14:textId="2e8b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2025 жылғы 24 желтоқсандағы № 278 "2026-2028 жылдарға арналған Мәртөк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2026 жылғы 18 ақпандағы № 294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Мәртөк ауданының ауылдық округтерінің бюджеттерін бекіту туралы" Мәртөк аудандық мәслихатының 2025 жылғы 24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49 260,4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бюджет тапшылығы (профициті) – -10 121,4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бюджет тапшылығын қаржыландыру (профицитін пайдалану) – 10 121,4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10 121,4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41 579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33 727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42 519,7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-940,7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940,7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940,7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2026 жылға арналған Байторысай ауылдық округінің бюджетінде аудандық бюджеттен берілетін трансферттер – 430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219 831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196 366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222 546,6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-2 715,6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2 715,6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2 715,6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2026 жылға арналған Жайсаң ауылдық округінің бюджетінде аудандық бюджеттен берілетін трансферттер – 157 748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60 642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47 422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60 647,7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-5,7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5,7 мың теңге.";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2026 жылға арналған Қаратоғай ауылдық округінің бюджетінде аудандық бюджеттен берілетін трансферттер – 6 745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48 286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31 103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48 702,6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-416,6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416,6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416,6 мың теңге.";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2026 жылға арналған Қарашай ауылдық округінің бюджетінде аудандық бюджеттен берілетін трансферттер – 9 430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44 840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27 293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45 467,4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-627,4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627,4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627,4 мың теңге.";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16-1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2026 жылға арналған Құрмансай ауылдық округінің бюджетінде аудандық бюджеттен берілетін трансферттер – 430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"кірістер – 59 912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49 929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61 013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-1 101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1 101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1 101 мың теңге.";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18-1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2026 жылға арналған Қызылжар ауылдық округінің бюджетінде аудандық бюджеттен берілетін трансферттер – 13 430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323 552,5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-5 197,5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5 197,5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5 197,5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48 366,2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-1 096,2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1 096,2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105 938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59 392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107 379,7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-1 441,7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1 441,7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1 441,7 мың теңге.";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24-1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2026 жылға арналған Сарыжар ауылдық округінің бюджетінде аудандық бюджеттен берілетін трансферттер – 14 186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242 644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220 379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243 862,5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-1 218,5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1 218,5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2026 жылға арналған Тәңірберген ауылдық округінің бюджетінде аудандық бюджеттен берілетін трансферттер – 201 552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40 410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27 675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41 278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-868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868 мың теңге.";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29-1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2026 жылға арналған Хазірет ауылдық округінің бюджетінде аудандық бюджеттен берілетін трансферттер – 430 мың теңге сомасында ескерілсін.".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-1 096,2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2026 жылғы 18 ақпандағы № 294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