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4b7b" w14:textId="fa44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"ERG Exploration"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2026 жылғы 27 сәуірдегі № 146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"ERG Exploration" жауапкершілігі шектеулі серіктестігіне қатты пайдалы қазбаларды барлау жұмыстарын жүргізу үшін, Әйтеке би ауданы аумағында орналасқан № 710-EL лицензиясы бойынша жалпы алаңы 5449 гектар жер учаскелеріне жер пайдаланушылардан алып қоймай, 2031 жылдың 28 шілдеге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"ERG Exploration" жауапкершілігі шектеулі серіктестігіне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Тоғызбаев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