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5a7b" w14:textId="e4f5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реттеуге жатқызылатын өлшем тізбесін бекіту туралы" Қазақстан Республикасы Ішкі істер министрінің 2019 жылғы 28 наурыздағы № 237 және Қазақстан Республикасы Индустрия және инфрақұрылымдық даму министрінің 2019 жылғы 29 наурыздағы № 162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16 сәуірдегі № 276 және Қазақстан Республикасы Сауда және интеграция министрінің 2026 жылғы 18 сәуірдегі № 170-НҚ бірлескен бұйрығы</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"Мемлекеттік реттеуге жатқызылатын өлшем тізбесін бекіту туралы" Қазақстан Республикасы Ішкі істер министрінің 2019 жылғы 28 наурыздағы № 237 және Қазақстан Республикасы Индустрия және инфрақұрылымдық даму министрінің 2019 жылғы 29 наурыздағы №162 бірлескен </w:t>
      </w:r>
      <w:r>
        <w:rPr>
          <w:rFonts w:ascii="Times New Roman"/>
          <w:b w:val="false"/>
          <w:i w:val="false"/>
          <w:color w:val="000000"/>
          <w:sz w:val="28"/>
        </w:rPr>
        <w:t>бұйрығына</w:t>
      </w:r>
      <w:r>
        <w:rPr>
          <w:rFonts w:ascii="Times New Roman"/>
          <w:b w:val="false"/>
          <w:i w:val="false"/>
          <w:color w:val="000000"/>
          <w:sz w:val="28"/>
        </w:rPr>
        <w:t xml:space="preserve"> (НҚА мемлекеттік тіркеу тізілімінде №18438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реттеуге жатқызылатын өлшемдер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тәртіпте мыналарды:</w:t>
      </w:r>
    </w:p>
    <w:bookmarkEnd w:id="3"/>
    <w:bookmarkStart w:name="z8" w:id="4"/>
    <w:p>
      <w:pPr>
        <w:spacing w:after="0"/>
        <w:ind w:left="0"/>
        <w:jc w:val="both"/>
      </w:pPr>
      <w:r>
        <w:rPr>
          <w:rFonts w:ascii="Times New Roman"/>
          <w:b w:val="false"/>
          <w:i w:val="false"/>
          <w:color w:val="000000"/>
          <w:sz w:val="28"/>
        </w:rPr>
        <w:t>
      1) осы бұйрықтың көшірмесін мемлекеттік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9" w:id="5"/>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интернет-ресурсында орналастыруды қамтамасыз етсін. </w:t>
      </w:r>
    </w:p>
    <w:bookmarkEnd w:id="5"/>
    <w:bookmarkStart w:name="z10" w:id="6"/>
    <w:p>
      <w:pPr>
        <w:spacing w:after="0"/>
        <w:ind w:left="0"/>
        <w:jc w:val="both"/>
      </w:pPr>
      <w:r>
        <w:rPr>
          <w:rFonts w:ascii="Times New Roman"/>
          <w:b w:val="false"/>
          <w:i w:val="false"/>
          <w:color w:val="000000"/>
          <w:sz w:val="28"/>
        </w:rPr>
        <w:t>
      3. Осы бұйрықтың орындалуын бақылауы Қазақстан Республикасы Ішкі істер министірінің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А. Шаққалиев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29 наурыздағы</w:t>
            </w:r>
            <w:r>
              <w:br/>
            </w:r>
            <w:r>
              <w:rPr>
                <w:rFonts w:ascii="Times New Roman"/>
                <w:b w:val="false"/>
                <w:i w:val="false"/>
                <w:color w:val="000000"/>
                <w:sz w:val="20"/>
              </w:rPr>
              <w:t>№162 және Қазақстан</w:t>
            </w:r>
            <w:r>
              <w:br/>
            </w:r>
            <w:r>
              <w:rPr>
                <w:rFonts w:ascii="Times New Roman"/>
                <w:b w:val="false"/>
                <w:i w:val="false"/>
                <w:color w:val="000000"/>
                <w:sz w:val="20"/>
              </w:rPr>
              <w:t>Республикасы Ішкі істер</w:t>
            </w:r>
            <w:r>
              <w:br/>
            </w:r>
            <w:r>
              <w:rPr>
                <w:rFonts w:ascii="Times New Roman"/>
                <w:b w:val="false"/>
                <w:i w:val="false"/>
                <w:color w:val="000000"/>
                <w:sz w:val="20"/>
              </w:rPr>
              <w:t>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237 бірлескен бұйрығымен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Мемлекеттік реттеуге жатқызылатын өлшем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 және қолдану саласын көрсете отырып өлшемдердің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Өлшемдерге</w:t>
            </w:r>
            <w:r>
              <w:rPr>
                <w:rFonts w:ascii="Times New Roman"/>
                <w:b/>
                <w:i w:val="false"/>
                <w:color w:val="000000"/>
                <w:sz w:val="20"/>
              </w:rPr>
              <w:t xml:space="preserve"> қойылатын метрологиялық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қателік немесе дәлдік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қозғалыс жылдамдығын (км/сағ) мобильді жылдамдық өлшегіштермен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250 км/сағ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км/сағ.</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Тіркеу:</w:t>
            </w:r>
          </w:p>
          <w:bookmarkEnd w:id="9"/>
          <w:p>
            <w:pPr>
              <w:spacing w:after="20"/>
              <w:ind w:left="20"/>
              <w:jc w:val="both"/>
            </w:pPr>
            <w:r>
              <w:rPr>
                <w:rFonts w:ascii="Times New Roman"/>
                <w:b w:val="false"/>
                <w:i w:val="false"/>
                <w:color w:val="000000"/>
                <w:sz w:val="20"/>
              </w:rPr>
              <w:t>
- белгіленген қозғалыс жылдамдығынан асып кету;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қозғалыс жылдамдығын (км/сағ) стационарлық жылдамдық өлшегіштермен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250 км/сағ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км/сағ.</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басқарудағы жиынтық люфтті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0°-тан 30°-қа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 (Нормативтік құқықтық актілерді мемлекеттік тіркеу тізілімінде № 33003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әйнек пен алдыңғы бүйірлік әйнектің жарық өткізгіштігін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0%-тен 70%-ке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протекторы суретінің қалдық биіктігін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150 мм-ге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газдардағы компоненттердің концентрациясын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көлемдік үлестің 0-ден 5%-не дейін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 0,03% Салыстырмалы ± 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көлемдік 0-ден 16%-ке дейін СО2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 0,5% Салыстырмалы ± 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- 0-ден 21%-ке дейін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 0,1% Салыстырмалы ± 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млн-1-ден 2000% млн-1-ге дейін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 10 млн-1 Салыстырмалы ± 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қозғалысының орташа жылдамдығын (км/сағ) стационарлық жылдамдық өлшегіштермен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жылдамдықты есептеу кезінде ± 2 км/сағ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орташа жылдамдығынан асып кетуін тіркеу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аппараттық-бағдарламалық кешендердің бақыланатын учаскесін өлшеу (мемлекеттік тіркеу нөмірінің танудың шекті қашықтығы)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10-нан 100 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Тіркеу:</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Көлік құралдарын тоқтату немесе тұраққа қою қағидаларын бұзу;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бағдаршамның тыйым салу сигналына өту;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жол белгілерінде жазылған талаптарды сақтамау;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жаяу жүргіншілерге немесе жол қозғалысының өзге де қатысушыларына қозғалыста артықшылық бермеу;</w:t>
            </w:r>
          </w:p>
          <w:p>
            <w:pPr>
              <w:spacing w:after="20"/>
              <w:ind w:left="20"/>
              <w:jc w:val="both"/>
            </w:pPr>
            <w:r>
              <w:rPr>
                <w:rFonts w:ascii="Times New Roman"/>
                <w:b w:val="false"/>
                <w:i w:val="false"/>
                <w:color w:val="000000"/>
                <w:sz w:val="20"/>
              </w:rPr>
              <w:t>
- маневр жасау қағидаларын бұзу.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Аппараттық-программалық кешендердің орналасу координаттарын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орнын тіркеу. Барлық ЖЖҚ бұзушылықтары үшін, аппараттық-бағдарламалық кешендердің барлық түрлері үшін міндетті өлшем болып табылады.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Шығыңқы нүктелер бойынша көлік құралдарының габариттері мен стационарлық аппараттық-программалық кешендердің жол белгісі арасындағы қашықтықты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0-ден 5 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Жол белгісімен жазылған талаптарды сақтамаудың бұзушылығын тіркеу.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синхрондау қатесін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уақытын тіркеу. Барлық ЖЖҚ бұзушылықтары үшін, аппараттық-бағдарламалық кешендердің барлық түрлері үшін міндетті өлшем болып табылады.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аппараттық-бағдарламалық кешендердің бақыланатын учаскесін өлшеу (мемлекеттік тіркеу нөмірінің танудың шекті қашықтығы)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Тіркеу:</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көлiк құралдарын тоқтату немесе тұраққа қою қағидаларын бұзу;</w:t>
            </w:r>
          </w:p>
          <w:p>
            <w:pPr>
              <w:spacing w:after="20"/>
              <w:ind w:left="20"/>
              <w:jc w:val="both"/>
            </w:pPr>
            <w:r>
              <w:rPr>
                <w:rFonts w:ascii="Times New Roman"/>
                <w:b w:val="false"/>
                <w:i w:val="false"/>
                <w:color w:val="000000"/>
                <w:sz w:val="20"/>
              </w:rPr>
              <w:t>
- жол белгілерінде жазылған талаптарды сақтамау.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