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7d8f" w14:textId="46b7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2026 жылғы 18 наурыздағы № А-3/85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"Бюджеттің қазынашылық атқарылуы және оларға кассалық қызмет көрсету рәсімдерін, қазынашылық есепке алу және мониторинг рәсімдерін бекіту туралы" Қазақстан Республикасы Қаржы министрінің 2025 жылғы 27 маусымдағы № 328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211793 болып тіркелген) 228 тармағына сәйкес, Целиноград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бюджет шығыстарының басым бағыттарының тізбесі осы қаулының қосымшасына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"Целиноград ауданының бюджет шығыстарының басым бағыттарының тізбесін анықтау туралы" Целиноград ауданы әкімдігінің 2017 жылғы 19 шілдедегі № А-2/301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әкімінің орынбасары Ж.Т. Толқынбекке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бюджет шығыстарының басым бағыттарының тізбесін анықтау туралы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Борыштық міндеттемелерін өтеу және оларға қызмет көрсету бойынша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Жәрдемақылар және басқа да әлеуметтік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Жалақы және басқа да ақшалай төлемдер, оның ішінде штаттан тыс техникалық персоналдың жалақысын және жалақыдан барлық ұстап қалулар.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заңнамалық актілерінде көзделген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Алименттер, міндетті зейнетақы жарналары, кәсіптік және ерікті зейнетақы жарналары, әлеуметтік аударымдар, міндетті әлеуметтік медициналық сақтандыруға аударымдар және (немесе) жарналар.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төлемдері, жеке тұлғаларға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қызметтеріне ақы төлеу, бюджеттік субвенциялар, салықтар және бюджетке төленетін басқа да міндетті төлемдер.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