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2790" w14:textId="2cb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2025 жылғы 19 желтоқсандағы № 27/2 "2026-2028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2026 жылғы 25 ақпандағы № 29/2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Сандықтау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"2026-2028 жылдарға арналған Сандықтау ауданының ауылдық округтерінің және Мәдениет ауылының бюджеттері туралы" 2025 жылғы 19 желтоқсандағы № 27/2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2026–2028 жылдарға арналған Балкашин ауылдық округінің бюджеті тиісінше 1, 1-1 және 1-2-қосымшаларға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165 802,8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150 121,0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13 552,8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172 140,3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- 6 337,5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6 337,5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2026–2028 жылдарға арналған Барақпай ауылдық округінің бюджеті тиісінше 2, 2-1 және 2-2-қосымшаларға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22 368,0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2026–2028 жылдарға арналған Белгород ауылдық округінің бюджеті тиісінше 3, 3-1 және 3-2-қосымшаларға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33 612,0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405,0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2026–2028 жылдарға арналған Бірлік ауылдық округінің бюджеті тиісінше 4, 4-1 және 4-2-қосымшаларға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30 343,0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2026–2028 жылдарға арналған Васильев ауылдық округінің бюджеті тиісінше 5, 5-1 және 5-2-қосымшаларға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29 558,0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2026–2028 жылдарға арналған Веселов ауылдық округінің бюджеті тиісінше 6, 6-1 және 6-2-қосымшаларға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30 779,0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19 379,1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- 2 790,1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2 790,1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2026–2028 жылдарға арналған Жамбыл ауылдық округінің бюджеті тиісінше 7, 7-1 және 7-2-қосымшаларға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31 059,0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- 3 231,0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3 231,0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2026–2028 жылдарға арналған Каменск ауылдық округінің бюджеті тиісінше 8, 8-1 және 8-2-қосымшаларға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33 911,0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19 087,0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2026–2028 жылдарға арналған Лесной ауылдық округінің бюджеті тиісінше 9, 9-1 және 9-2-қосымшаларға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35 371,0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2026–2028 жылдарға арналған Максимов ауылдық округінің бюджеті тиісінше 11, 11-1 және 11-2-қосымшаларға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39 536,0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40 643,1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- 1 107,1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1 107,1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2026–2028 жылдарға арналған Ақсораң ауылдық округінің бюджеті тиісінше 12, 12-1 және 12-2-қосымшаларға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34 597,0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420,0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2026–2028 жылдарға арналған Сандықтау ауылдық округінің бюджеті тиісінше 13, 13-1 және 13-2-қосымшаларға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43 483,0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2026–2028 жылдарға арналған Широков ауылдық округінің бюджеті тиісінше 14, 14-1 және 14-2-қосымшаларға сәйкес, 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33 727,0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839,0 мың теңге."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ндағы 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Белгород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Васильев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Веселов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Максимов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Ақсораң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Сандықтау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Широков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ауылдық округтер мен Мәдениет ауылының бюджеттеріне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көшелердегі бейнебақылау жүйесін қалпына келтіру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мерекесін атап өтуге арналған шағын сәулеттік нысандарды дайындау және орнату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маңызы бар жолдарды тазалау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маңызы бар жолдарды тазалау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