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eeb5" w14:textId="e8ee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Сандықтау ауданы әкімдігінің 2026 жылғы 16 ақпандағы № А-2/34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 даму министрі міндетін атқарушысының 2020 жылғы 29 сәуір № 249 </w:t>
      </w:r>
      <w:r>
        <w:rPr>
          <w:rFonts w:ascii="Times New Roman"/>
          <w:b w:val="false"/>
          <w:i w:val="false"/>
          <w:color w:val="000000"/>
          <w:sz w:val="28"/>
        </w:rPr>
        <w:t>бұйрығына</w:t>
      </w:r>
      <w:r>
        <w:rPr>
          <w:rFonts w:ascii="Times New Roman"/>
          <w:b w:val="false"/>
          <w:i w:val="false"/>
          <w:color w:val="000000"/>
          <w:sz w:val="28"/>
        </w:rPr>
        <w:t xml:space="preserve"> (№ 20542 Нормативтік құқықтық актілерді мемлекеттік тіркеу тізілімінде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әкімдіктің</w:t>
            </w:r>
            <w:r>
              <w:br/>
            </w:r>
            <w:r>
              <w:rPr>
                <w:rFonts w:ascii="Times New Roman"/>
                <w:b w:val="false"/>
                <w:i w:val="false"/>
                <w:color w:val="000000"/>
                <w:sz w:val="20"/>
              </w:rPr>
              <w:t>16 ақпандағы 2026 жыл</w:t>
            </w:r>
            <w:r>
              <w:br/>
            </w:r>
            <w:r>
              <w:rPr>
                <w:rFonts w:ascii="Times New Roman"/>
                <w:b w:val="false"/>
                <w:i w:val="false"/>
                <w:color w:val="000000"/>
                <w:sz w:val="20"/>
              </w:rPr>
              <w:t>№ А-2/34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Сандықтау ауданында коммуналдық қызмет көрсету Ережесі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10-3-баптың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12)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15)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қызметтерді ұсыну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13.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p>
      <w:pPr>
        <w:spacing w:after="0"/>
        <w:ind w:left="0"/>
        <w:jc w:val="both"/>
      </w:pPr>
      <w:r>
        <w:rPr>
          <w:rFonts w:ascii="Times New Roman"/>
          <w:b w:val="false"/>
          <w:i w:val="false"/>
          <w:color w:val="000000"/>
          <w:sz w:val="28"/>
        </w:rPr>
        <w:t>
      22.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23.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p>
      <w:pPr>
        <w:spacing w:after="0"/>
        <w:ind w:left="0"/>
        <w:jc w:val="left"/>
      </w:pPr>
      <w:r>
        <w:rPr>
          <w:rFonts w:ascii="Times New Roman"/>
          <w:b/>
          <w:i w:val="false"/>
          <w:color w:val="000000"/>
        </w:rPr>
        <w:t xml:space="preserve"> 4 тарау. Коммуналдық қызметтерді есептеу және төлеу тәртібі</w:t>
      </w:r>
    </w:p>
    <w:p>
      <w:pPr>
        <w:spacing w:after="0"/>
        <w:ind w:left="0"/>
        <w:jc w:val="both"/>
      </w:pPr>
      <w:r>
        <w:rPr>
          <w:rFonts w:ascii="Times New Roman"/>
          <w:b w:val="false"/>
          <w:i w:val="false"/>
          <w:color w:val="000000"/>
          <w:sz w:val="28"/>
        </w:rPr>
        <w:t>
      24. Тұтынушы коммуналдық қызметтер үшін төлемді осы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35.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 тарау. БЕО-ның талаптары мен жұмыс тәртібі</w:t>
      </w:r>
    </w:p>
    <w:p>
      <w:pPr>
        <w:spacing w:after="0"/>
        <w:ind w:left="0"/>
        <w:jc w:val="both"/>
      </w:pPr>
      <w:r>
        <w:rPr>
          <w:rFonts w:ascii="Times New Roman"/>
          <w:b w:val="false"/>
          <w:i w:val="false"/>
          <w:color w:val="000000"/>
          <w:sz w:val="28"/>
        </w:rPr>
        <w:t>
      36.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37.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44.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47.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48.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49.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p>
      <w:pPr>
        <w:spacing w:after="0"/>
        <w:ind w:left="0"/>
        <w:jc w:val="left"/>
      </w:pPr>
      <w:r>
        <w:rPr>
          <w:rFonts w:ascii="Times New Roman"/>
          <w:b/>
          <w:i w:val="false"/>
          <w:color w:val="000000"/>
        </w:rPr>
        <w:t xml:space="preserve"> 6-тарау. Келіспеушіліктерді шешу тәртібі</w:t>
      </w:r>
    </w:p>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54.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7-тарау. Қорытынды ережелер</w:t>
      </w:r>
    </w:p>
    <w:p>
      <w:pPr>
        <w:spacing w:after="0"/>
        <w:ind w:left="0"/>
        <w:jc w:val="both"/>
      </w:pPr>
      <w:r>
        <w:rPr>
          <w:rFonts w:ascii="Times New Roman"/>
          <w:b w:val="false"/>
          <w:i w:val="false"/>
          <w:color w:val="000000"/>
          <w:sz w:val="28"/>
        </w:rPr>
        <w:t>
      55.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p>
      <w:pPr>
        <w:spacing w:after="0"/>
        <w:ind w:left="0"/>
        <w:jc w:val="both"/>
      </w:pPr>
      <w:r>
        <w:rPr>
          <w:rFonts w:ascii="Times New Roman"/>
          <w:b w:val="false"/>
          <w:i w:val="false"/>
          <w:color w:val="000000"/>
          <w:sz w:val="28"/>
        </w:rPr>
        <w:t>
      56.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Біріңғай төлем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