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7146" w14:textId="dd57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Сабынды ауылдық округінде табиғи сипаттағы 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Сабынды ауылдық округі әкімінің 2026 жылғы 22 сәуірдегі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 өзі басқару туралы",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төтенше жағдайлардың алдын алу және жою жөніндегі аудандық комиссиясының кезектен тыс шұғыл отырысының 2026 жылғы 21 сәуірдегі хаттамасының негізінде, Сабынды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Сабынды ауылдық округінде табиғи сипаттағы объектілік масштабтағы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Хамитжанов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