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d139" w14:textId="ef0d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2025 жылғы 23 желтоқсандағы № 8С-52-1 "Жақсы ауданының 2026-2028 жылдарға арналған ауылдарының, ауылдық округтерінің бюджеттері туралы" шешімге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2026 жылғы 26 наурыздағы № 8С-54-1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2025 жылғы 23 желтоқсандағы № 8С-52-1 "Жақсы ауданының 2026-2028 жылдарға арналған ауылдарының,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Белағаш ауылының бюджеті тиісінше 1, 2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42449,1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(-10465,5)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2026-2028 жылдарға арналған Беловод ауылдық округінің бюджеті тиісінше 4, 5 және 6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44791,5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(-6932,7)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2026-2028 жылдарға арналған Жақсы ауылының бюджеті тиісінше 7, 8 және 9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308286,2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199954,2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309731,1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(-1444,9)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2026-2028 жылдарға арналған Жаңа Қима ауылдық округінің бюджеті тиісінше 10, 11 және 12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78145,6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87390,3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(-9244,7)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2026-2028 жылдарға арналған Запорожье ауылдық округінің бюджеті тиісінше 13, 14 және 15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76433,3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51023,3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(-5657,2)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2026-2028 жылдарға арналған Ешім ауылдық округінің тиісінше 16, 17 және 18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200354,4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201001,3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(-646,9)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2026-2028 жылдарға арналған Калинин ауылдық округінің тиісінше 19, 20 және 21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41144,4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25288,4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(-748,1)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2026-2028 жылдарға арналған Киев ауылының бюджеті тиісінше 22, 23 және 24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56207,2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41536,2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2026-2028 жылдарға арналған Қызылсай ауылдық округінің тиісінше 25, 26 және 27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39658,1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(-1127,9)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2026-2028 жылдарға арналған Новокиенка ауылының бюджеті тиісінше 28, 29 және 30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43720,5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27759,5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(-3744,7)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2026-2028 жылдарға арналған Подгорное ауылының бюджеті тиісінше 31, 32 және 33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(-580,1)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2026-2028 жылдарға арналған Тарасов ауылдық округінің бюджеті тиісінше 34, 35 және 36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(-1779,8)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2026-2028 жылдарға арналған Терісаққан ауылының бюджеті тиісінше 37, 38 және 39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35320,4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30654,4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(-311)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2026-2028 жылдарға арналған Чапай ауылының бюджеті тиісінше 40, 41 және 42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(-8628,3)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Беловод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 ауылының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Қима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Запорожье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Ешім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Калинин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Киев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Новокиенка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Подгорное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Тарасов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Чапай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берілетін ағымдағы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жарықтандыруды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аумағында қар жинау және шығару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шырша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Сейфуллин көшесін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Туктубаев көшесінің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кезеңіне дайындық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жиһазын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жөндеуге арналған құрылыс материалдары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