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094c" w14:textId="0e80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2023 жылғы 22 желтоқсандағы № 8С-19/3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2026 жылғы 13 сәуірдегі № 8С-66/2 шешімі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22 желтоқсандағы № 8С-19/3 (Нормативтік құқықтық актілерді мемлекеттік тіркеу тізілімінде № 8677-03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w:t>
      </w:r>
      <w:r>
        <w:rPr>
          <w:rFonts w:ascii="Times New Roman"/>
          <w:b w:val="false"/>
          <w:i w:val="false"/>
          <w:color w:val="000000"/>
          <w:sz w:val="28"/>
        </w:rPr>
        <w:t xml:space="preserve">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рет өтініш бойынша 100 (жүз) айлық есептік көрсеткіш шекті мөлшеріне дейін,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өтініш бойынша 200 (екі жүз) айлық есептік көрсеткішке шекті мөлшеріне дейін,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9) мүгедектігі бар адамдар бар отбасылар, аз қамтылған, көп балалы және толық емес отбасылардан жоғары медициналық оқу орындарында оқитын студенттерге оқу мерзімі аяқталғанға дейін Жарқайың ауданында жұмыс істеуді ескере отырып жылына 1 рет оқудын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11)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12)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Канафин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