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318e" w14:textId="7a23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16 маусымдағы № 18-6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1-бөлімде:</w:t>
      </w:r>
    </w:p>
    <w:bookmarkEnd w:id="3"/>
    <w:bookmarkStart w:name="z7" w:id="4"/>
    <w:p>
      <w:pPr>
        <w:spacing w:after="0"/>
        <w:ind w:left="0"/>
        <w:jc w:val="both"/>
      </w:pPr>
      <w:r>
        <w:rPr>
          <w:rFonts w:ascii="Times New Roman"/>
          <w:b w:val="false"/>
          <w:i w:val="false"/>
          <w:color w:val="000000"/>
          <w:sz w:val="28"/>
        </w:rPr>
        <w:t>
      екінші, бесінші, жиырма бірінші, жиырма екінші, отыз бірінші, отыз үшінші, отыз бесінші жолдар келесі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 Тофацитиниб үлбірлі қабықпен қапталған таблеткалар Инфликсимаб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 Микофенол қышқылы Босап шығуы ұзаққа созылатын,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үбірлі қабықпен қапталған таблеткасы, Офатумумаб тері астына инъекцияға арналған препарат, Сипонимод пленкамен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Омализумаб венаішілік инфузия үшін ерітінді дайындауға арналған лиофилизат. Тезепелумаб Тері астына енгізуге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Касимерсен көктамыр ішіне енгізу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 Лакосамид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үлбірлі қабықпен қапталған таблеткасы, Азатиоприн үлбірлі қабықпен қапталған таблеткасы, Равулизумаб инфузияға арналған ерітінді дайындауға арналған концентрат, Метилпреднизолон таблеткасы</w:t>
            </w:r>
          </w:p>
        </w:tc>
      </w:tr>
    </w:tbl>
    <w:bookmarkStart w:name="z8" w:id="5"/>
    <w:p>
      <w:pPr>
        <w:spacing w:after="0"/>
        <w:ind w:left="0"/>
        <w:jc w:val="both"/>
      </w:pPr>
      <w:r>
        <w:rPr>
          <w:rFonts w:ascii="Times New Roman"/>
          <w:b w:val="false"/>
          <w:i w:val="false"/>
          <w:color w:val="000000"/>
          <w:sz w:val="28"/>
        </w:rPr>
        <w:t>
      келесі мазмұндағы отыз тоғызыншы, қырықыншы, қырық бірінші, қырық екінші жолдармен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Десмоидты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рахит-тұқым қуалаудың x-байланысты доминантты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bl>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