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dfaf" w14:textId="0a3d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Тұғыл ауылдық округіндегі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Тұғыл ауылдық округі әкімінің 2025 жылғы 13 қазандағы № 35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Мәдениет және спорт министрінің 2023 жылғы 1 тамыздағы №211 "Әкімшілік-аумақтық бірліктерге, елді мекендердің құрамдас бөліктеріне атау беру, оларды қайта атау, сондай –ақ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Тұғыл ауылдық округінің халқының пікірін ескере отырып, Шығыс Қазақстан облысы әкімдігінің жанындағы облыстық ономастика комиссиясының 2025 жылдың 18-қыркуйектегі қорытындысы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Тұғыл ауылдық округі Тұғыл ауылындағы Пристань көшесі "Қасым Қайсенов" көшесі деп және осы Тұғыл ауылындағы Юность көшесі "Шәкәрім" көшесі деп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орындалуына бақылау жасауды өзіме қалдырмын.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күннен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Тұғыл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Свенов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