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4e3f" w14:textId="f724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14 мамырдағы № 27/312-VIII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аудандық мәслихатыШЕШІМ ҚАБЫЛДАДЫ:</w:t>
      </w:r>
    </w:p>
    <w:bookmarkStart w:name="z6" w:id="0"/>
    <w:p>
      <w:pPr>
        <w:spacing w:after="0"/>
        <w:ind w:left="0"/>
        <w:jc w:val="both"/>
      </w:pPr>
      <w:r>
        <w:rPr>
          <w:rFonts w:ascii="Times New Roman"/>
          <w:b w:val="false"/>
          <w:i w:val="false"/>
          <w:color w:val="000000"/>
          <w:sz w:val="28"/>
        </w:rPr>
        <w:t xml:space="preserve">
      1. 2025 жылы Катонқарағай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 </w:t>
      </w:r>
    </w:p>
    <w:bookmarkEnd w:id="0"/>
    <w:bookmarkStart w:name="z7"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1"/>
    <w:bookmarkStart w:name="z8" w:id="2"/>
    <w:p>
      <w:pPr>
        <w:spacing w:after="0"/>
        <w:ind w:left="0"/>
        <w:jc w:val="both"/>
      </w:pPr>
      <w:r>
        <w:rPr>
          <w:rFonts w:ascii="Times New Roman"/>
          <w:b w:val="false"/>
          <w:i w:val="false"/>
          <w:color w:val="000000"/>
          <w:sz w:val="28"/>
        </w:rPr>
        <w:t>
      2) тұрғын үй сатып алу немесе салу үшін екі мың бес жүз еселік айлық есептік көрсеткіштен аспайтын сомада ауданның әкімшілік орталығы болып табылатын ауылдық елді мекенде және екі мың еселік айлық есептік көрсеткіштен аспайтын сомада ауданның басқа да ауылдық елді мекендерінде бюджеттік кредит ұсынылсын.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