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36f" w14:textId="ec87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24 желтоқсандағы № 207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27 қарашадағы № 291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округтердің бюджеттері туралы" Сауран аудандық мәслихатының 2024 жылғы 24 желтоқсандағы №207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Бабайқорған ауылдық округінің 2025-2027 жылдарға арналған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Ескі Иқан ауылдық округінің 2025-2027 жылдарға арналған бюджеті тиісінше 4, 5 және 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123 853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-26 006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26 006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26 006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Жаңа Иқан ауылдық округінің 2025-2027 жылдарға арналған бюджеті тиісінше 7, 8 және 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Жібек Жолы ауылдық округінің 2025-2027 жылдарға арналған бюджеті тиісінше 10, 11 және 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Жүйнек ауылдық округінің 2025-2027 жылдарға арналған бюджеті тиісінше 13, 14 және 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131 526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- 20 724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20 724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Иассы ауылдық округінің 2025-2027 жылдарға арналған бюджеті тиісінше 16, 17 және 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25 639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25 639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Қарашық ауылдық округінің 2025-2027 жылдарға арналған бюджеті тиісінше 19, 20 және 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Майдантал ауылдық округінің 2025-2027 жылдарға арналған бюджеті тиісінше 22, 23 және 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114 123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Оранғай ауылдық округінің 2025-2027 жылдарға арналған бюджеті тиісінше 25, 26 және 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- 23 352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23 352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23 352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Үшқайық ауылдық округінің 2025-2027 жылдарға арналған бюджеті тиісінше 28, 29 және 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122 679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4 085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Шаға ауылдық округінің 2025-2027 жылдарға арналған бюджеті тиісінше 31, 32 және 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2 610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Шорнақ ауылдық округінің 2025-2027 жылдарға арналған бюджеті тиісінше 34, 35 және 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7 293 мың теңге."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жылға арналған Қарашық ауылдық округінің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