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883a" w14:textId="2998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Келес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мен кенттер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Түркістан облысы Келес аудандық мәслихатының 2025 жылғы 20 маусымдағы № 26-194-VIII шешімі</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2025 жылы Келес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мен кенттер әкімдері аппараттарының мемлекеттік қызметшілеріне, әлеуметтік қолдау шараларын ұсынылсын: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Н.Шаулиев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