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d9d" w14:textId="1a9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2024 жылғы 30 желтоқсандағы № 25-151-VIII "2025-2027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9 желтоқсандағы № 34-202-VIII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қала, кент және ауылдық округтердің бюджеті туралы" Жетісай аудандық мәслихатының 2024 жылғы 30 желтоқсандағы №25-151-VIII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709 644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667 676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110 864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110 864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Жаңа ауыл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13 854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164 376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202 896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Қарақай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212 421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8 168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–6 237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125 150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Ынтымақ ауылдық округінің 2025-2027 жылдарға арналған бюджеті 37, 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2 014 мың теңге мың теңге.".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