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67a" w14:textId="b713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10 желтоқсандағы № 45-240-VIII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2025-2027 жылдарға арналған бюджеті 1, 2 және 3-қосымшаларға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577 375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577 040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583 053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2025-2027 жылдарға арналған бюджеті 4, 5, 6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159 821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32 757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127 064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2025-2027 жылдарға арналған бюджеті 7, 8, 9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280 449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48 578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231 871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281 784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2025-2027 жылдарға арналған бюджеті 10, 11, 12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123 351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94 560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124 116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2025-2027 жылдарға арналған бюджеті 13, 14, 15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153 127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64 469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88 658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2025-2027 жылдарға арналған бюджеті 16, 17, 18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84 910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68 490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85 310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2025-2027 жылдарға арналған бюджеті 19, 20, 21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59 937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60 222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2025-2027 жылдарға арналған бюджеті 22, 23, 24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71 242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52 201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2025-2027 жылдарға арналған бюджеті 25, 26, 27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145 972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130 412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146 136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2025-2027 жылдарға арналған бюджеті 28, 29, 30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145 530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145 878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2025-2027 жылдарға арналған бюджеті 31, 32, 33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113 113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24 588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88 525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