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7c6c" w14:textId="8b07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14 шілдедегі № 39-215-VIII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594 810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494 413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100 220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600 488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159 195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128 559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159 637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259 025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260 360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110 791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145 374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58 271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146 827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83 611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78 073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78 358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66 613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17 414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49 127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68 043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129 159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142 599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