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5ca8" w14:textId="cde5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Шардара ауданы әкiмдiгiнiң 2025 жылғы 12 мамырдағы № 138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"Шардара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Шардара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12 мамырдағы</w:t>
            </w:r>
            <w:r>
              <w:br/>
            </w:r>
            <w:r>
              <w:rPr>
                <w:rFonts w:ascii="Times New Roman"/>
                <w:b w:val="false"/>
                <w:i w:val="false"/>
                <w:color w:val="000000"/>
                <w:sz w:val="20"/>
              </w:rPr>
              <w:t>№ 138 қаулысына қосымша</w:t>
            </w:r>
          </w:p>
        </w:tc>
      </w:tr>
    </w:tbl>
    <w:bookmarkStart w:name="z7" w:id="5"/>
    <w:p>
      <w:pPr>
        <w:spacing w:after="0"/>
        <w:ind w:left="0"/>
        <w:jc w:val="left"/>
      </w:pPr>
      <w:r>
        <w:rPr>
          <w:rFonts w:ascii="Times New Roman"/>
          <w:b/>
          <w:i w:val="false"/>
          <w:color w:val="000000"/>
        </w:rPr>
        <w:t xml:space="preserve"> Шардара аудан әкімдігінің регламентi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Шардара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Республикасының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bookmarkStart w:name="z12"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тұлғаларға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әкімдіктің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6" w:id="24"/>
    <w:p>
      <w:pPr>
        <w:spacing w:after="0"/>
        <w:ind w:left="0"/>
        <w:jc w:val="both"/>
      </w:pPr>
      <w:r>
        <w:rPr>
          <w:rFonts w:ascii="Times New Roman"/>
          <w:b w:val="false"/>
          <w:i w:val="false"/>
          <w:color w:val="000000"/>
          <w:sz w:val="28"/>
        </w:rPr>
        <w:t>
      16. Аппарат (хатшы)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9"/>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0"/>
    <w:p>
      <w:pPr>
        <w:spacing w:after="0"/>
        <w:ind w:left="0"/>
        <w:jc w:val="both"/>
      </w:pPr>
      <w:r>
        <w:rPr>
          <w:rFonts w:ascii="Times New Roman"/>
          <w:b w:val="false"/>
          <w:i w:val="false"/>
          <w:color w:val="000000"/>
          <w:sz w:val="28"/>
        </w:rPr>
        <w:t>
      Өкімдердің жобалары аудандық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органның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