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cd41" w14:textId="7fbc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Түлкібас ауданы әкімдігінің 2023 жылғы 27 наурыздағы № 65 қаулысына өзгеріс енгізу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10 қазандағы № 240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сәйес, Түлкібас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Түлкібас ауданы әкімдігінің 2023 жылғы 27 наурыздағы №65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"___"___________</w:t>
            </w:r>
            <w:r>
              <w:br/>
            </w:r>
            <w:r>
              <w:rPr>
                <w:rFonts w:ascii="Times New Roman"/>
                <w:b w:val="false"/>
                <w:i w:val="false"/>
                <w:color w:val="000000"/>
                <w:sz w:val="20"/>
              </w:rPr>
              <w:t>№______қаулысына қосымша</w:t>
            </w:r>
          </w:p>
        </w:tc>
      </w:tr>
    </w:tbl>
    <w:bookmarkStart w:name="z7" w:id="5"/>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 1-тарау. Жалпы ережелер</w:t>
      </w:r>
    </w:p>
    <w:bookmarkEnd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p>
      <w:pPr>
        <w:spacing w:after="0"/>
        <w:ind w:left="0"/>
        <w:jc w:val="both"/>
      </w:pPr>
      <w:r>
        <w:rPr>
          <w:rFonts w:ascii="Times New Roman"/>
          <w:b w:val="false"/>
          <w:i w:val="false"/>
          <w:color w:val="000000"/>
          <w:sz w:val="28"/>
        </w:rPr>
        <w:t xml:space="preserve">
      3. Осы Үлгілік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xml:space="preserve">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 </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