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394" w14:textId="6da2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27 желтоқсандағы № 165 "2025-2027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17 қазандағы № 219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2024 жылғы 27 желтоқсандағы №165 "2025-2027 жылдарға арналған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2025-2027 жылдарға арналған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598 170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567 119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–6 670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Жуантөбе ауылдық округінің 2025-2027 жылдарға арналған бюджеті 4, 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295 144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36 587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258 557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–11 351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Қарақұр ауылдық округінің 2025-2027 жылдарға арналған бюджеті 7, 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221 699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203 501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Қаратау ауылдық округінің 2025-2027 жылдарға арналған бюджеті 10, 11 және 12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188 540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Құмкент ауылдық округі 2025-2027 жылдарға арналған бюджеті 13, 14 және 15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297 166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73 644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2025-2027 жылдарға арналған бюджеті 16, 17 және 18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663 648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15 848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2025-2027жылдарға арналған бюджеті 19, 20 және 21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381 566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346 608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2025-2027 жылдарға арналған бюджеті 22, 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1 632 854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258 134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1 370 970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1 688 420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55 566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–55 566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 Шу ауылдық округінің 2025-2027 жылдарға арналған бюджеті 25, 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198 700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159 289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4 934 мың теңге".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 Қыземшек кентінің 2025-2027 жылдарға арналған бюджеті 28, 29 және 30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518 258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464 353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5 028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2025-2027 жылдарға арналған бюджеті 31, 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363 053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–274 292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 Тасты ауылдық округінің 2025-2027жылдарға арналған бюджеті 34, 35 және 36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159 406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113 297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10 665 мың теңге".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№219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