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62cd" w14:textId="0f86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2025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Сарыағаш аудандық мәслихатының 2025 жылғы 25 сәуірдегі № 30-224-VIII шешiмi</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№72 </w:t>
      </w:r>
      <w:r>
        <w:rPr>
          <w:rFonts w:ascii="Times New Roman"/>
          <w:b w:val="false"/>
          <w:i w:val="false"/>
          <w:color w:val="000000"/>
          <w:sz w:val="28"/>
        </w:rPr>
        <w:t>бұйрығына</w:t>
      </w:r>
      <w:r>
        <w:rPr>
          <w:rFonts w:ascii="Times New Roman"/>
          <w:b w:val="false"/>
          <w:i w:val="false"/>
          <w:color w:val="000000"/>
          <w:sz w:val="28"/>
        </w:rPr>
        <w:t xml:space="preserve"> сәйкес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Сарыағаш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(басшы лауазымдарды атқаратын адамдарды қоспағанда) қажеттілікті ескере отырып, 2025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ауылдық елді мекендерге келген мамандар үшін айлық есептік көрсеткіштің екі мың еселенген мөлшерінен аспайтын сомада.</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Асылбекұлы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