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c44f" w14:textId="adb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Түркістан облысы Сарыағаш ауданы әкiмдiгiнiң 2025 жылғы 22 қыркүйектегі № 323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М.Баигабуловқа жүктелсін.</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"22" қыркүйек 2025 жылғы</w:t>
            </w:r>
            <w:r>
              <w:br/>
            </w:r>
            <w:r>
              <w:rPr>
                <w:rFonts w:ascii="Times New Roman"/>
                <w:b w:val="false"/>
                <w:i w:val="false"/>
                <w:color w:val="000000"/>
                <w:sz w:val="20"/>
              </w:rPr>
              <w:t>№323 қаулысына қосымша</w:t>
            </w:r>
          </w:p>
        </w:tc>
      </w:tr>
    </w:tbl>
    <w:bookmarkStart w:name="z6" w:id="4"/>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4"/>
    <w:bookmarkStart w:name="z7" w:id="5"/>
    <w:p>
      <w:pPr>
        <w:spacing w:after="0"/>
        <w:ind w:left="0"/>
        <w:jc w:val="left"/>
      </w:pPr>
      <w:r>
        <w:rPr>
          <w:rFonts w:ascii="Times New Roman"/>
          <w:b/>
          <w:i w:val="false"/>
          <w:color w:val="000000"/>
        </w:rPr>
        <w:t xml:space="preserve"> І-тарау. Жалпы ережелер</w:t>
      </w:r>
    </w:p>
    <w:bookmarkEnd w:id="5"/>
    <w:bookmarkStart w:name="z8"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оның ішінде аудандық бюджет, аудандық маңызы бар қала, ауыл және ауылдық округтер бюджеттері есебінен қаржыландырылатын ұйымдар жұмыскерлердің лауазымдық айлықақыларына жергілікті бюджет қаражаты есебінен ынталандыру үстемеақыларын (бұдан әрі – ынталандыру үстемеақылары) белгілеу тәртібі мен шарттарын айқындайды.</w:t>
      </w:r>
    </w:p>
    <w:bookmarkEnd w:id="6"/>
    <w:bookmarkStart w:name="z9" w:id="7"/>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7"/>
    <w:bookmarkStart w:name="z10" w:id="8"/>
    <w:p>
      <w:pPr>
        <w:spacing w:after="0"/>
        <w:ind w:left="0"/>
        <w:jc w:val="left"/>
      </w:pPr>
      <w:r>
        <w:rPr>
          <w:rFonts w:ascii="Times New Roman"/>
          <w:b/>
          <w:i w:val="false"/>
          <w:color w:val="000000"/>
        </w:rPr>
        <w:t xml:space="preserve"> ІІ-тарау.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8"/>
    <w:bookmarkStart w:name="z11" w:id="9"/>
    <w:p>
      <w:pPr>
        <w:spacing w:after="0"/>
        <w:ind w:left="0"/>
        <w:jc w:val="both"/>
      </w:pPr>
      <w:r>
        <w:rPr>
          <w:rFonts w:ascii="Times New Roman"/>
          <w:b w:val="false"/>
          <w:i w:val="false"/>
          <w:color w:val="000000"/>
          <w:sz w:val="28"/>
        </w:rPr>
        <w:t>
      3.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9"/>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органның бірінші басшысына шығарады.</w:t>
      </w:r>
    </w:p>
    <w:bookmarkStart w:name="z12" w:id="10"/>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10"/>
    <w:bookmarkStart w:name="z13" w:id="11"/>
    <w:p>
      <w:pPr>
        <w:spacing w:after="0"/>
        <w:ind w:left="0"/>
        <w:jc w:val="both"/>
      </w:pPr>
      <w:r>
        <w:rPr>
          <w:rFonts w:ascii="Times New Roman"/>
          <w:b w:val="false"/>
          <w:i w:val="false"/>
          <w:color w:val="000000"/>
          <w:sz w:val="28"/>
        </w:rPr>
        <w:t>
      5. Ұсынымды ұйым басшысы күнтізбелік 10 күннен аспайтын мерзімде қарайды.</w:t>
      </w:r>
    </w:p>
    <w:bookmarkEnd w:id="11"/>
    <w:bookmarkStart w:name="z14" w:id="12"/>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w:t>
      </w:r>
    </w:p>
    <w:bookmarkEnd w:id="12"/>
    <w:bookmarkStart w:name="z15" w:id="13"/>
    <w:p>
      <w:pPr>
        <w:spacing w:after="0"/>
        <w:ind w:left="0"/>
        <w:jc w:val="left"/>
      </w:pPr>
      <w:r>
        <w:rPr>
          <w:rFonts w:ascii="Times New Roman"/>
          <w:b/>
          <w:i w:val="false"/>
          <w:color w:val="000000"/>
        </w:rPr>
        <w:t xml:space="preserve"> ІІІ-тарау. Ынталандыру үстемеақыларын белгілеу шарттары</w:t>
      </w:r>
    </w:p>
    <w:bookmarkEnd w:id="13"/>
    <w:bookmarkStart w:name="z16" w:id="14"/>
    <w:p>
      <w:pPr>
        <w:spacing w:after="0"/>
        <w:ind w:left="0"/>
        <w:jc w:val="both"/>
      </w:pPr>
      <w:r>
        <w:rPr>
          <w:rFonts w:ascii="Times New Roman"/>
          <w:b w:val="false"/>
          <w:i w:val="false"/>
          <w:color w:val="000000"/>
          <w:sz w:val="28"/>
        </w:rPr>
        <w:t>
      7. Ынталандыру үстемеақылары жұмыскерлерді ынталандыру мақсатында белгіленетін төлемдер болып табылады.</w:t>
      </w:r>
    </w:p>
    <w:bookmarkEnd w:id="14"/>
    <w:bookmarkStart w:name="z17" w:id="15"/>
    <w:p>
      <w:pPr>
        <w:spacing w:after="0"/>
        <w:ind w:left="0"/>
        <w:jc w:val="both"/>
      </w:pPr>
      <w:r>
        <w:rPr>
          <w:rFonts w:ascii="Times New Roman"/>
          <w:b w:val="false"/>
          <w:i w:val="false"/>
          <w:color w:val="000000"/>
          <w:sz w:val="28"/>
        </w:rPr>
        <w:t xml:space="preserve">
      8. Ынталандыру үстемеақылары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bookmarkEnd w:id="15"/>
    <w:bookmarkStart w:name="z18" w:id="16"/>
    <w:p>
      <w:pPr>
        <w:spacing w:after="0"/>
        <w:ind w:left="0"/>
        <w:jc w:val="both"/>
      </w:pPr>
      <w:r>
        <w:rPr>
          <w:rFonts w:ascii="Times New Roman"/>
          <w:b w:val="false"/>
          <w:i w:val="false"/>
          <w:color w:val="000000"/>
          <w:sz w:val="28"/>
        </w:rPr>
        <w:t>
      9. Ынталандыру үстемеақыларын белгілеу құқығын беретін қызметкердің қызметінің нәтижелерін сипаттайтын негізгі көрсеткіштер:</w:t>
      </w:r>
    </w:p>
    <w:bookmarkEnd w:id="16"/>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19" w:id="17"/>
    <w:p>
      <w:pPr>
        <w:spacing w:after="0"/>
        <w:ind w:left="0"/>
        <w:jc w:val="both"/>
      </w:pPr>
      <w:r>
        <w:rPr>
          <w:rFonts w:ascii="Times New Roman"/>
          <w:b w:val="false"/>
          <w:i w:val="false"/>
          <w:color w:val="000000"/>
          <w:sz w:val="28"/>
        </w:rPr>
        <w:t>
      10. Лауазымдық айлықақыларға ынталандыру үстемеақы жұмыскерлерге белгіленбейді:</w:t>
      </w:r>
    </w:p>
    <w:bookmarkEnd w:id="17"/>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0" w:id="18"/>
    <w:p>
      <w:pPr>
        <w:spacing w:after="0"/>
        <w:ind w:left="0"/>
        <w:jc w:val="both"/>
      </w:pPr>
      <w:r>
        <w:rPr>
          <w:rFonts w:ascii="Times New Roman"/>
          <w:b w:val="false"/>
          <w:i w:val="false"/>
          <w:color w:val="000000"/>
          <w:sz w:val="28"/>
        </w:rPr>
        <w:t>
      11.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1" w:id="19"/>
    <w:p>
      <w:pPr>
        <w:spacing w:after="0"/>
        <w:ind w:left="0"/>
        <w:jc w:val="both"/>
      </w:pPr>
      <w:r>
        <w:rPr>
          <w:rFonts w:ascii="Times New Roman"/>
          <w:b w:val="false"/>
          <w:i w:val="false"/>
          <w:color w:val="000000"/>
          <w:sz w:val="28"/>
        </w:rPr>
        <w:t>
      12. Бюджеттік ұйымдар жұмыскерлердің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(даму жоспарында)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