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ff6a" w14:textId="059f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ауданында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28 қарашадағы № 32-204-VIІI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 кезеңі үшін алынған (алынуға жататын) кірістер бойынша 4%-дан 2 %-ға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