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ea2c" w14:textId="b53e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мекендерге жұмыс істеуге және тұруға келген денсаулық сақтау, білім беру, әлеуметтік қамсыздандыру, мәдениет,спорт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көтерме жәрдемақы мен әлеуметтік қолдау көрсету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28 наурыздағы № 26-169-VIІI шешiмi</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Заңдарына,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Мақтаарал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xml:space="preserve">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w:t>
      </w:r>
    </w:p>
    <w:p>
      <w:pPr>
        <w:spacing w:after="0"/>
        <w:ind w:left="0"/>
        <w:jc w:val="both"/>
      </w:pPr>
      <w:r>
        <w:rPr>
          <w:rFonts w:ascii="Times New Roman"/>
          <w:b w:val="false"/>
          <w:i w:val="false"/>
          <w:color w:val="000000"/>
          <w:sz w:val="28"/>
        </w:rPr>
        <w:t>
      ауданның өзге де ауылдық елді мекендеріне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