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57c9" w14:textId="6de5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Қазығұрт ауданы әкiмдiгiнiң 2025 жылғы 13 қарашадағы № 280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коммуналдық көрсетілетін қызметтерді ұсынудың үлгілік қағидалары бекітілсін.</w:t>
      </w:r>
    </w:p>
    <w:bookmarkEnd w:id="1"/>
    <w:bookmarkStart w:name="z3" w:id="2"/>
    <w:p>
      <w:pPr>
        <w:spacing w:after="0"/>
        <w:ind w:left="0"/>
        <w:jc w:val="both"/>
      </w:pPr>
      <w:r>
        <w:rPr>
          <w:rFonts w:ascii="Times New Roman"/>
          <w:b w:val="false"/>
          <w:i w:val="false"/>
          <w:color w:val="000000"/>
          <w:sz w:val="28"/>
        </w:rPr>
        <w:t xml:space="preserve">
      2. "Қазығұрт ауданында коммуналдық көрсетілетін қызметтерді ұсыну қағидаларын бекіту туралы" Түркістан облысы Қазығұрт ауданы әкімдігінің 2022 жылғы 20 қыркүйектегі № 273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13 қарашадағы</w:t>
            </w:r>
            <w:r>
              <w:br/>
            </w:r>
            <w:r>
              <w:rPr>
                <w:rFonts w:ascii="Times New Roman"/>
                <w:b w:val="false"/>
                <w:i w:val="false"/>
                <w:color w:val="000000"/>
                <w:sz w:val="20"/>
              </w:rPr>
              <w:t>№ 280 қаулысына қосымша</w:t>
            </w:r>
          </w:p>
        </w:tc>
      </w:tr>
    </w:tbl>
    <w:bookmarkStart w:name="z7" w:id="5"/>
    <w:p>
      <w:pPr>
        <w:spacing w:after="0"/>
        <w:ind w:left="0"/>
        <w:jc w:val="left"/>
      </w:pPr>
      <w:r>
        <w:rPr>
          <w:rFonts w:ascii="Times New Roman"/>
          <w:b/>
          <w:i w:val="false"/>
          <w:color w:val="000000"/>
        </w:rPr>
        <w:t xml:space="preserve">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xml:space="preserve">
      Кондоминиум объектілеріндегі пайдалану жауапкершілігін бөлу шекарасы: </w:t>
      </w:r>
    </w:p>
    <w:p>
      <w:pPr>
        <w:spacing w:after="0"/>
        <w:ind w:left="0"/>
        <w:jc w:val="both"/>
      </w:pPr>
      <w:r>
        <w:rPr>
          <w:rFonts w:ascii="Times New Roman"/>
          <w:b w:val="false"/>
          <w:i w:val="false"/>
          <w:color w:val="000000"/>
          <w:sz w:val="28"/>
        </w:rPr>
        <w:t xml:space="preserve">
      сумен жабдықтау бойынша – ғимаратта су құбырын енгізудегі бірінші ысырманың бөлуші фланеці; </w:t>
      </w:r>
    </w:p>
    <w:p>
      <w:pPr>
        <w:spacing w:after="0"/>
        <w:ind w:left="0"/>
        <w:jc w:val="both"/>
      </w:pPr>
      <w:r>
        <w:rPr>
          <w:rFonts w:ascii="Times New Roman"/>
          <w:b w:val="false"/>
          <w:i w:val="false"/>
          <w:color w:val="000000"/>
          <w:sz w:val="28"/>
        </w:rPr>
        <w:t xml:space="preserve">
      су бұру бойынша – елді мекеннің су бұру желілеріне қосылған жердегі құдық; </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xml:space="preserve">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w:t>
      </w:r>
    </w:p>
    <w:p>
      <w:pPr>
        <w:spacing w:after="0"/>
        <w:ind w:left="0"/>
        <w:jc w:val="both"/>
      </w:pPr>
      <w:r>
        <w:rPr>
          <w:rFonts w:ascii="Times New Roman"/>
          <w:b w:val="false"/>
          <w:i w:val="false"/>
          <w:color w:val="000000"/>
          <w:sz w:val="28"/>
        </w:rPr>
        <w:t xml:space="preserve">
      Хабарламада мыналар көрсетіледі: </w:t>
      </w:r>
    </w:p>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xml:space="preserve">
      Тұтынушы көппәтерлі тұрғын үйде тұрған кезде өтінішке және аакт-қа тұтынушы және кемінде екі адам қол қояды, оның ішінде: </w:t>
      </w:r>
    </w:p>
    <w:p>
      <w:pPr>
        <w:spacing w:after="0"/>
        <w:ind w:left="0"/>
        <w:jc w:val="both"/>
      </w:pPr>
      <w:r>
        <w:rPr>
          <w:rFonts w:ascii="Times New Roman"/>
          <w:b w:val="false"/>
          <w:i w:val="false"/>
          <w:color w:val="000000"/>
          <w:sz w:val="28"/>
        </w:rPr>
        <w:t>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xml:space="preserve">
      Акт тұтынушы қол қоюдан бас тартқан кезде де жарамды деп есептеледі, бірақ оны кемінде үш адамнан тұратын комиссия ресімдеген жағдайда: </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