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13a3" w14:textId="a641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2024 жылғы 27 желтоқсандағы "2025 – 2027 жылдарға арналған ауылдық округтердің бюджеттері туралы" № 26/155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10 желтоқсандағы № 36/208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2025 – 2027 жылдарға арналған бюджеті тиісінше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2025 - 2027 жылдарға арналған бюджеті тиісінше 4, 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142 239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111 394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2025 - 2027 жылдарға арналған бюджеті тиісінше 7, 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Ақбастау ауылдық округінің 2025 - 2027 жылдарға арналған бюджеті тиісінше 10, 11 және 12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Боралдай ауылдық округінің 2025 - 2027 жылдарға арналған бюджеті тиісінше 13, 14 және 15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185 948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32 021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ауылдық округінің 2025 - 2027 жылдарға арналған бюджеті тиісінше 16, 17 және 18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–108 576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2025 - 2027 жылдарға арналған бюджеті тиісінше 19, 20 және 21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105 615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ауылдық округінің 2025 – 2027 жылдарға арналған бюджеті тиісінше 22, 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Көктерек ауылдық округінің 2025 - 2027 жылдарға арналған бюджеті тиісінше 25, 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Мыңбұлақ ауылдық округінің 2025 - 2027 жылдарға арналған бюджеті тиісінше 28, 29 және 30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Шаян ауылдық округінің 2025 - 2027 жылдарға арналған бюджеті тиісінше 31, 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164 905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116 839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25 759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25 759 мың теңге.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