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046" w14:textId="e0ce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2024 жылғы 27 желтоқсандағы "2025–2027 жылдарға арналған ауылдық округтердің бюджеттері туралы" № 26/155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16 мамырдағы № 30/177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2025 – 2027 жылдарға арналған бюджеті тиісінше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81 914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округінің 2025 - 2027 жылдарға арналған бюджеті тиісінше 4, 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Алмалы ауылдық округінің 2025 - 2027 жылдарға арналған бюджеті тиісінше 7, 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Ақбастау ауылдық округінің 2025 - 2027 жылдарға арналған бюджеті тиісінше 10, 11 және 12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77 374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Боралдай ауылдық округінің 2025 - 2027 жылдарға арналған бюджеті тиісінше 13, 14 және 15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150 930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1 902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ауылдық округінің 2025 - 2027 жылдарға арналған бюджеті тиісінше 16, 17 және 18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–103 929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Борлысай ауылдық округінің 2025 - 2027 жылдарға арналған бюджеті тиісінше 19, 20 және 21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 ауылдық округінің 2025 – 2027 жылдарға арналған бюджеті тиісінше 22, 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118 091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Көктерек ауылдық округінің 2025 - 2027 жылдарға арналған бюджеті тиісінше 25, 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Мыңбұлақ ауылдық округінің 2025 - 2027 жылдарға арналған бюджеті тиісінше 28, 29 және 30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Шаян ауылдық округінің 2025 - 2027 жылдарға арналған бюджеті тиісінше 31, 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154 426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25 759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25 759 мың теңге.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