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3ed9" w14:textId="ea43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қаласында қоғамдық жұмыстардың түрлерін және қоғамдық жұмыстар орындалуға тиіс 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қаласы әкiмдiгiнiң 2025 жылғы 18 сәуірдегі № 196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Премьер-Министрінің 2025 жылғы 17 қаңтардағы №11-р "Қазақстан Республикасының Әкімшілік құқық бұзушылық туралы кодексіне өзгерістер мен толықтырулар енгізу туралы" 2025 жылғы 10 қаңтардағы Қазақстан Республикасының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қаласында қоғамдық жұмыстарға тарту түріндегі жазаға сотталған адамдарға арналған қоғамдық жұмыстардың түрлері және қоғамдық жұмыстар орындалуға тиіс ұйымдардың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Түркістан қаласы әкімдігінің 2023 жылғы 11 қаңтардағы №5 "Қоғамдық жұмыстарға тарту түріндегі жазаға сотталған адамдарға арналған қоғамдық жұмыстардың түрлерін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 Түркістан қаласы әкімдігінің "Жұмыспен қамту және әлеуметтік бағдарламалар бөлімі" мемлекеттік мекемесіне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М.Қозыханұлына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Ә.Пазылбекұлы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 18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"Түркістан қаласында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қоғамдық жұмыстар орындалуға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 ұйымдардың тізбесін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қаласында қоғамдық жұмыстарға тарту түріндегі жазаға сотталған адамдарға арналған қоғамдық жұмыстардың түрлері және қоғамдық жұмыстар орындалуға тиіс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тізбесі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 әкімдігінің инфрақұрылым және коммуникациялар бөлімінің "Жасыл Түркістан" коммуналдық мемлекеттік мекемесі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 көріктендіру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 әкімдігінің инфрақұрылым және коммуникациялар бөлімінің "Түркістан жарық-тазалық"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 тазалау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