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af0d" w14:textId="947a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2023 жылғы 2 маусымдағы № 111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әкiмдiгiнiң 2025 жылғы 1 қазандағы № 203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әдістемесін бекіту туралы" Түркістан облысы әкімдігінің 2023 жылғы 2 маусымдағы № 111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 әкімі аппараты" мемлекеттік мекемесі:</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"01" қазандағы</w:t>
            </w:r>
            <w:r>
              <w:br/>
            </w:r>
            <w:r>
              <w:rPr>
                <w:rFonts w:ascii="Times New Roman"/>
                <w:b w:val="false"/>
                <w:i w:val="false"/>
                <w:color w:val="000000"/>
                <w:sz w:val="20"/>
              </w:rPr>
              <w:t>№ 203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 "маусымдағы"</w:t>
            </w:r>
            <w:r>
              <w:br/>
            </w:r>
            <w:r>
              <w:rPr>
                <w:rFonts w:ascii="Times New Roman"/>
                <w:b w:val="false"/>
                <w:i w:val="false"/>
                <w:color w:val="000000"/>
                <w:sz w:val="20"/>
              </w:rPr>
              <w:t>№ 111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 1-тарау. Жалпы ережелер</w:t>
      </w:r>
    </w:p>
    <w:bookmarkEnd w:id="6"/>
    <w:p>
      <w:pPr>
        <w:spacing w:after="0"/>
        <w:ind w:left="0"/>
        <w:jc w:val="both"/>
      </w:pPr>
      <w:r>
        <w:rPr>
          <w:rFonts w:ascii="Times New Roman"/>
          <w:b w:val="false"/>
          <w:i w:val="false"/>
          <w:color w:val="000000"/>
          <w:sz w:val="28"/>
        </w:rPr>
        <w:t xml:space="preserve">
      1. Осы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облыстық бюджеттен қаржыландырылатын атқарушы органдардың басшылары мен Түркістан облысы әкімі аппараты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xml:space="preserve">
      3) құрылымдық бөлімшенің/мемлекеттік органның басшысы – D-3 (құрылымдық бөлімшелердің басшылары), D-O-1 санаттарының "Б" корпусының мемлекеттік әкімшілік қызметшісі; </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 /мемлекеттік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xml:space="preserve">
      6) калибрлеу сессиялары – бағаланатын адамдардың қызметін бағалау нәтижелерін талқылау, ықтимал түзету және бекіту үшін бағалаушы адамдардың кездесулері; </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"Б" корпусы мемлекеттік әкімшілік қызметшілерін бағалау мекеменің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xml:space="preserve">
      Іссапарға жіберілген адамдарды бағалау қабылдаушы мемлекеттік органмен іссапарда болу кезеңі үшін жүргізіледі. </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xml:space="preserve">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 </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 </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5 -тармақта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xml:space="preserve">
      11.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xml:space="preserve">
      2) қажет болған жағдайда бағалаушы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 </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xml:space="preserve">
      15. D-3 (құрылымдық бөлімшелердің басшылары), D-O-1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 </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бекітілген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D-3 санаттарының (құрылымдық бөлімшелердің басшыларын қоспағанда) "Б" корпусының мемлекеттік әкімшілік қызметшілерін бағалау тікелей басшымен бекітілген Үлгілік әдістеменің 1- қосымшасына сәйкес нысан бойынша жүргізіледі. </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бекітілген Үлгілік әдістеменің 2-қосымшасына сәйкес нысан бойынша жүргізіледі. </w:t>
      </w:r>
    </w:p>
    <w:p>
      <w:pPr>
        <w:spacing w:after="0"/>
        <w:ind w:left="0"/>
        <w:jc w:val="both"/>
      </w:pPr>
      <w:r>
        <w:rPr>
          <w:rFonts w:ascii="Times New Roman"/>
          <w:b w:val="false"/>
          <w:i w:val="false"/>
          <w:color w:val="000000"/>
          <w:sz w:val="28"/>
        </w:rPr>
        <w:t xml:space="preserve">
      16. Бағалаушы адамға бағалау парағы персоналды басқару қызметімен ақпараттық жүйе арқылы жіберіледі. </w:t>
      </w:r>
    </w:p>
    <w:p>
      <w:pPr>
        <w:spacing w:after="0"/>
        <w:ind w:left="0"/>
        <w:jc w:val="both"/>
      </w:pPr>
      <w:r>
        <w:rPr>
          <w:rFonts w:ascii="Times New Roman"/>
          <w:b w:val="false"/>
          <w:i w:val="false"/>
          <w:color w:val="000000"/>
          <w:sz w:val="28"/>
        </w:rPr>
        <w:t xml:space="preserve">
      Бағалаушы адаммен 0-ден 5-ке дейінгі баға қойылады. </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17. Бағалау процесіне бірыңғай тәсілді келісу және сақтау мақсатында мемлекеттік органдар осы Әдістеменің 9 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xml:space="preserve">
      Калибрлеу сессиясының құрамы мүшелердің тақ санынан тұрады. Калибрлеу сессиясы мүшелерінің саны үштен кем болмауы тиіс. </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 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19. Калибрлеу сессиясы қызметшінің өтініші түскен уақыттан бастап он жұмыс күн ішінде осы Әдістеменің 11-тармағында көзделген тәртіппен өткізіледі.</w:t>
      </w:r>
    </w:p>
    <w:p>
      <w:pPr>
        <w:spacing w:after="0"/>
        <w:ind w:left="0"/>
        <w:jc w:val="both"/>
      </w:pPr>
      <w:r>
        <w:rPr>
          <w:rFonts w:ascii="Times New Roman"/>
          <w:b w:val="false"/>
          <w:i w:val="false"/>
          <w:color w:val="000000"/>
          <w:sz w:val="28"/>
        </w:rPr>
        <w:t>
      20.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облыстық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орындаудың жеделдігі; </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xml:space="preserve">
 - ақпараттық қауіпсіздік талаптарын сақтау; </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xml:space="preserve">
- себепсіз жұмыстан мерзімінен бұрын шығудың болмауы; </w:t>
            </w:r>
          </w:p>
          <w:p>
            <w:pPr>
              <w:spacing w:after="20"/>
              <w:ind w:left="20"/>
              <w:jc w:val="both"/>
            </w:pPr>
            <w:r>
              <w:rPr>
                <w:rFonts w:ascii="Times New Roman"/>
                <w:b w:val="false"/>
                <w:i w:val="false"/>
                <w:color w:val="000000"/>
                <w:sz w:val="20"/>
              </w:rPr>
              <w:t xml:space="preserve">
- қызметтік әдеп бұзушылықтардың болмауы; </w:t>
            </w:r>
          </w:p>
          <w:p>
            <w:pPr>
              <w:spacing w:after="20"/>
              <w:ind w:left="20"/>
              <w:jc w:val="both"/>
            </w:pPr>
            <w:r>
              <w:rPr>
                <w:rFonts w:ascii="Times New Roman"/>
                <w:b w:val="false"/>
                <w:i w:val="false"/>
                <w:color w:val="000000"/>
                <w:sz w:val="20"/>
              </w:rPr>
              <w:t xml:space="preserve">
- ақпараттық қауіпсіздік талаптарын сақтау; </w:t>
            </w:r>
          </w:p>
          <w:p>
            <w:pPr>
              <w:spacing w:after="20"/>
              <w:ind w:left="20"/>
              <w:jc w:val="both"/>
            </w:pPr>
            <w:r>
              <w:rPr>
                <w:rFonts w:ascii="Times New Roman"/>
                <w:b w:val="false"/>
                <w:i w:val="false"/>
                <w:color w:val="000000"/>
                <w:sz w:val="20"/>
              </w:rPr>
              <w:t xml:space="preserve">
- мемлекеттік құпияларды қамтамасыз ету жөніндегі талаптарды сақтау; </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xml:space="preserve">
Тәртіптік жаза болған жағдайда: </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облыстық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Параметерлер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қызметшінің функционалдық міндеттерін жоғары деңгейде дербес орындай алуы; </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xml:space="preserve">
- жетекшілік ететін міндеттерді шешуге қатысу және белсенділігі;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Еңбек тәртібін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xml:space="preserve">
- себепсіз жұмыстан мерзімінен бұрын шығудың болмауы; </w:t>
            </w:r>
          </w:p>
          <w:p>
            <w:pPr>
              <w:spacing w:after="20"/>
              <w:ind w:left="20"/>
              <w:jc w:val="both"/>
            </w:pPr>
            <w:r>
              <w:rPr>
                <w:rFonts w:ascii="Times New Roman"/>
                <w:b w:val="false"/>
                <w:i w:val="false"/>
                <w:color w:val="000000"/>
                <w:sz w:val="20"/>
              </w:rPr>
              <w:t xml:space="preserve">
- қызметтік әдеп бұзушылықтардың болмауы; </w:t>
            </w:r>
          </w:p>
          <w:p>
            <w:pPr>
              <w:spacing w:after="20"/>
              <w:ind w:left="20"/>
              <w:jc w:val="both"/>
            </w:pPr>
            <w:r>
              <w:rPr>
                <w:rFonts w:ascii="Times New Roman"/>
                <w:b w:val="false"/>
                <w:i w:val="false"/>
                <w:color w:val="000000"/>
                <w:sz w:val="20"/>
              </w:rPr>
              <w:t xml:space="preserve">
- ақпараттық қауіпсіздік талаптарын сақтау; </w:t>
            </w:r>
          </w:p>
          <w:p>
            <w:pPr>
              <w:spacing w:after="20"/>
              <w:ind w:left="20"/>
              <w:jc w:val="both"/>
            </w:pPr>
            <w:r>
              <w:rPr>
                <w:rFonts w:ascii="Times New Roman"/>
                <w:b w:val="false"/>
                <w:i w:val="false"/>
                <w:color w:val="000000"/>
                <w:sz w:val="20"/>
              </w:rPr>
              <w:t xml:space="preserve">
- мемлекеттік құпияларды қамтамасыз ету жөніндегі талаптарды сақтау; </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