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af0d" w14:textId="947a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2023 жылғы 2 маусымдағы № 111 "Түркістан облысы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әдістемесін бекіту туралы" қаулысына өзгеріс енгізу туралы</w:t>
      </w:r>
    </w:p>
    <w:p>
      <w:pPr>
        <w:spacing w:after="0"/>
        <w:ind w:left="0"/>
        <w:jc w:val="both"/>
      </w:pPr>
      <w:r>
        <w:rPr>
          <w:rFonts w:ascii="Times New Roman"/>
          <w:b w:val="false"/>
          <w:i w:val="false"/>
          <w:color w:val="000000"/>
          <w:sz w:val="28"/>
        </w:rPr>
        <w:t>Түркістан облысы әкiмдiгiнiң 2025 жылғы 1 қазандағы № 203 қаулысы</w:t>
      </w:r>
    </w:p>
    <w:p>
      <w:pPr>
        <w:spacing w:after="0"/>
        <w:ind w:left="0"/>
        <w:jc w:val="both"/>
      </w:pPr>
      <w:bookmarkStart w:name="z1" w:id="0"/>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әдістемесін бекіту туралы" Түркістан облысы әкімдігінің 2023 жылғы 2 маусымдағы № 111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"Түркістан облысы әкімі аппараты" мемлекеттік мекемесі:</w:t>
      </w:r>
    </w:p>
    <w:bookmarkEnd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 аппаратының басшысына жүктелсін.</w:t>
      </w:r>
    </w:p>
    <w:bookmarkEnd w:id="4"/>
    <w:bookmarkStart w:name="z6" w:id="5"/>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2025 жылғы "01" қазандағы</w:t>
            </w:r>
            <w:r>
              <w:br/>
            </w:r>
            <w:r>
              <w:rPr>
                <w:rFonts w:ascii="Times New Roman"/>
                <w:b w:val="false"/>
                <w:i w:val="false"/>
                <w:color w:val="000000"/>
                <w:sz w:val="20"/>
              </w:rPr>
              <w:t>№ 203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"2" "маусымдағы"</w:t>
            </w:r>
            <w:r>
              <w:br/>
            </w:r>
            <w:r>
              <w:rPr>
                <w:rFonts w:ascii="Times New Roman"/>
                <w:b w:val="false"/>
                <w:i w:val="false"/>
                <w:color w:val="000000"/>
                <w:sz w:val="20"/>
              </w:rPr>
              <w:t>№ 111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Түркістан облысы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әдістемесі 1-тарау. Жалпы ережелер</w:t>
      </w:r>
    </w:p>
    <w:bookmarkEnd w:id="6"/>
    <w:p>
      <w:pPr>
        <w:spacing w:after="0"/>
        <w:ind w:left="0"/>
        <w:jc w:val="both"/>
      </w:pPr>
      <w:r>
        <w:rPr>
          <w:rFonts w:ascii="Times New Roman"/>
          <w:b w:val="false"/>
          <w:i w:val="false"/>
          <w:color w:val="000000"/>
          <w:sz w:val="28"/>
        </w:rPr>
        <w:t xml:space="preserve">
      1. Осы Түркістан облысы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корпусындағы облыстық бюджеттен қаржыландырылатын атқарушы органдардың басшылары мен Түркістан облысы әкімі аппараты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xml:space="preserve">
      3) құрылымдық бөлімшенің/мемлекеттік органның басшысы – D-3 (құрылымдық бөлімшелердің басшылары), D-O-1 санаттарының "Б" корпусының мемлекеттік әкімшілік қызметшісі; </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 /мемлекеттік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xml:space="preserve">
      6) калибрлеу сессиялары – бағаланатын адамдардың қызметін бағалау нәтижелерін талқылау, ықтимал түзету және бекіту үшін бағалаушы адамдардың кездесулері; </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"Б" корпусы мемлекеттік әкімшілік қызметшілерін бағалау мекеменің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xml:space="preserve">
      Іссапарға жіберілген адамдарды бағалау қабылдаушы мемлекеттік органмен іссапарда болу кезеңі үшін жүргізіледі. </w:t>
      </w:r>
    </w:p>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xml:space="preserve">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 </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 </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5 -тармақта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xml:space="preserve">
      11.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xml:space="preserve">
      2) қажет болған жағдайда бағалаушы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 </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xml:space="preserve">
      15. D-3 (құрылымдық бөлімшелердің басшылары), D-O-1 санаттарының "Б" корпусының мемлекеттік әкімшілік қызметшілерін бағалау тікелей басшымен осы Әдістеменің 1-қосымшасына сәйкес нысан бойынша жүргізіледі. </w:t>
      </w:r>
    </w:p>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бекітілген Үлгілік әдістеменің 1-қосымшасына сәйкес нысан бойынша жүргізіледі.</w:t>
      </w:r>
    </w:p>
    <w:p>
      <w:pPr>
        <w:spacing w:after="0"/>
        <w:ind w:left="0"/>
        <w:jc w:val="both"/>
      </w:pPr>
      <w:r>
        <w:rPr>
          <w:rFonts w:ascii="Times New Roman"/>
          <w:b w:val="false"/>
          <w:i w:val="false"/>
          <w:color w:val="000000"/>
          <w:sz w:val="28"/>
        </w:rPr>
        <w:t xml:space="preserve">
      D-3 санаттарының (құрылымдық бөлімшелердің басшыларын қоспағанда) "Б" корпусының мемлекеттік әкімшілік қызметшілерін бағалау тікелей басшымен бекітілген Үлгілік әдістеменің 1- қосымшасына сәйкес нысан бойынша жүргізіледі. </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бекітілген Үлгілік әдістеменің 2-қосымшасына сәйкес нысан бойынша жүргізіледі. </w:t>
      </w:r>
    </w:p>
    <w:p>
      <w:pPr>
        <w:spacing w:after="0"/>
        <w:ind w:left="0"/>
        <w:jc w:val="both"/>
      </w:pPr>
      <w:r>
        <w:rPr>
          <w:rFonts w:ascii="Times New Roman"/>
          <w:b w:val="false"/>
          <w:i w:val="false"/>
          <w:color w:val="000000"/>
          <w:sz w:val="28"/>
        </w:rPr>
        <w:t xml:space="preserve">
      16. Бағалаушы адамға бағалау парағы персоналды басқару қызметімен ақпараттық жүйе арқылы жіберіледі. </w:t>
      </w:r>
    </w:p>
    <w:p>
      <w:pPr>
        <w:spacing w:after="0"/>
        <w:ind w:left="0"/>
        <w:jc w:val="both"/>
      </w:pPr>
      <w:r>
        <w:rPr>
          <w:rFonts w:ascii="Times New Roman"/>
          <w:b w:val="false"/>
          <w:i w:val="false"/>
          <w:color w:val="000000"/>
          <w:sz w:val="28"/>
        </w:rPr>
        <w:t xml:space="preserve">
      Бағалаушы адаммен 0-ден 5-ке дейінгі баға қойылады. </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17. Бағалау процесіне бірыңғай тәсілді келісу және сақтау мақсатында мемлекеттік органдар осы Әдістеменің 9 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18.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xml:space="preserve">
      Калибрлеу сессиясының құрамы мүшелердің тақ санынан тұрады. Калибрлеу сессиясы мүшелерінің саны үштен кем болмауы тиіс. </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 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both"/>
      </w:pPr>
      <w:r>
        <w:rPr>
          <w:rFonts w:ascii="Times New Roman"/>
          <w:b w:val="false"/>
          <w:i w:val="false"/>
          <w:color w:val="000000"/>
          <w:sz w:val="28"/>
        </w:rPr>
        <w:t>
      19. Калибрлеу сессиясы қызметшінің өтініші түскен уақыттан бастап он жұмыс күн ішінде осы Әдістеменің 11-тармағында көзделген тәртіппен өткізіледі.</w:t>
      </w:r>
    </w:p>
    <w:p>
      <w:pPr>
        <w:spacing w:after="0"/>
        <w:ind w:left="0"/>
        <w:jc w:val="both"/>
      </w:pPr>
      <w:r>
        <w:rPr>
          <w:rFonts w:ascii="Times New Roman"/>
          <w:b w:val="false"/>
          <w:i w:val="false"/>
          <w:color w:val="000000"/>
          <w:sz w:val="28"/>
        </w:rPr>
        <w:t>
      20.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w:t>
            </w:r>
            <w:r>
              <w:br/>
            </w:r>
            <w:r>
              <w:rPr>
                <w:rFonts w:ascii="Times New Roman"/>
                <w:b w:val="false"/>
                <w:i w:val="false"/>
                <w:color w:val="000000"/>
                <w:sz w:val="20"/>
              </w:rPr>
              <w:t>аппараты</w:t>
            </w:r>
            <w:r>
              <w:br/>
            </w:r>
            <w:r>
              <w:rPr>
                <w:rFonts w:ascii="Times New Roman"/>
                <w:b w:val="false"/>
                <w:i w:val="false"/>
                <w:color w:val="000000"/>
                <w:sz w:val="20"/>
              </w:rPr>
              <w:t>мен жергілікті бюджеттен</w:t>
            </w:r>
            <w:r>
              <w:br/>
            </w:r>
            <w:r>
              <w:rPr>
                <w:rFonts w:ascii="Times New Roman"/>
                <w:b w:val="false"/>
                <w:i w:val="false"/>
                <w:color w:val="000000"/>
                <w:sz w:val="20"/>
              </w:rPr>
              <w:t>қаржыландырылатын облыстық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орындаудың жеделдігі; </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xml:space="preserve">
 - ақпараттық қауіпсіздік талаптарын сақтау; </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xml:space="preserve">
- себепсіз жұмыстан мерзімінен бұрын шығудың болмауы; </w:t>
            </w:r>
          </w:p>
          <w:p>
            <w:pPr>
              <w:spacing w:after="20"/>
              <w:ind w:left="20"/>
              <w:jc w:val="both"/>
            </w:pPr>
            <w:r>
              <w:rPr>
                <w:rFonts w:ascii="Times New Roman"/>
                <w:b w:val="false"/>
                <w:i w:val="false"/>
                <w:color w:val="000000"/>
                <w:sz w:val="20"/>
              </w:rPr>
              <w:t xml:space="preserve">
- қызметтік әдеп бұзушылықтардың болмауы; </w:t>
            </w:r>
          </w:p>
          <w:p>
            <w:pPr>
              <w:spacing w:after="20"/>
              <w:ind w:left="20"/>
              <w:jc w:val="both"/>
            </w:pPr>
            <w:r>
              <w:rPr>
                <w:rFonts w:ascii="Times New Roman"/>
                <w:b w:val="false"/>
                <w:i w:val="false"/>
                <w:color w:val="000000"/>
                <w:sz w:val="20"/>
              </w:rPr>
              <w:t xml:space="preserve">
- ақпараттық қауіпсіздік талаптарын сақтау; </w:t>
            </w:r>
          </w:p>
          <w:p>
            <w:pPr>
              <w:spacing w:after="20"/>
              <w:ind w:left="20"/>
              <w:jc w:val="both"/>
            </w:pPr>
            <w:r>
              <w:rPr>
                <w:rFonts w:ascii="Times New Roman"/>
                <w:b w:val="false"/>
                <w:i w:val="false"/>
                <w:color w:val="000000"/>
                <w:sz w:val="20"/>
              </w:rPr>
              <w:t xml:space="preserve">
- мемлекеттік құпияларды қамтамасыз ету жөніндегі талаптарды сақтау; </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xml:space="preserve">
Тәртіптік жаза болған жағдайда: </w:t>
            </w:r>
          </w:p>
          <w:p>
            <w:pPr>
              <w:spacing w:after="20"/>
              <w:ind w:left="20"/>
              <w:jc w:val="both"/>
            </w:pPr>
            <w:r>
              <w:rPr>
                <w:rFonts w:ascii="Times New Roman"/>
                <w:b w:val="false"/>
                <w:i w:val="false"/>
                <w:color w:val="000000"/>
                <w:sz w:val="20"/>
              </w:rPr>
              <w:t xml:space="preserve">
-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w:t>
            </w:r>
            <w:r>
              <w:br/>
            </w:r>
            <w:r>
              <w:rPr>
                <w:rFonts w:ascii="Times New Roman"/>
                <w:b w:val="false"/>
                <w:i w:val="false"/>
                <w:color w:val="000000"/>
                <w:sz w:val="20"/>
              </w:rPr>
              <w:t>аппараты</w:t>
            </w:r>
            <w:r>
              <w:br/>
            </w:r>
            <w:r>
              <w:rPr>
                <w:rFonts w:ascii="Times New Roman"/>
                <w:b w:val="false"/>
                <w:i w:val="false"/>
                <w:color w:val="000000"/>
                <w:sz w:val="20"/>
              </w:rPr>
              <w:t>мен жергілікті бюджеттен</w:t>
            </w:r>
            <w:r>
              <w:br/>
            </w:r>
            <w:r>
              <w:rPr>
                <w:rFonts w:ascii="Times New Roman"/>
                <w:b w:val="false"/>
                <w:i w:val="false"/>
                <w:color w:val="000000"/>
                <w:sz w:val="20"/>
              </w:rPr>
              <w:t>қаржыландырылатын облыстық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 </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Параметерлер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қызметшінің функционалдық міндеттерін жоғары деңгейде дербес орындай алуы; </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xml:space="preserve">
- жетекшілік ететін міндеттерді шешуге қатысу және белсенділігі;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Еңбек тәртібін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xml:space="preserve">
- себепсіз жұмыстан мерзімінен бұрын шығудың болмауы; </w:t>
            </w:r>
          </w:p>
          <w:p>
            <w:pPr>
              <w:spacing w:after="20"/>
              <w:ind w:left="20"/>
              <w:jc w:val="both"/>
            </w:pPr>
            <w:r>
              <w:rPr>
                <w:rFonts w:ascii="Times New Roman"/>
                <w:b w:val="false"/>
                <w:i w:val="false"/>
                <w:color w:val="000000"/>
                <w:sz w:val="20"/>
              </w:rPr>
              <w:t xml:space="preserve">
- қызметтік әдеп бұзушылықтардың болмауы; </w:t>
            </w:r>
          </w:p>
          <w:p>
            <w:pPr>
              <w:spacing w:after="20"/>
              <w:ind w:left="20"/>
              <w:jc w:val="both"/>
            </w:pPr>
            <w:r>
              <w:rPr>
                <w:rFonts w:ascii="Times New Roman"/>
                <w:b w:val="false"/>
                <w:i w:val="false"/>
                <w:color w:val="000000"/>
                <w:sz w:val="20"/>
              </w:rPr>
              <w:t xml:space="preserve">
- ақпараттық қауіпсіздік талаптарын сақтау; </w:t>
            </w:r>
          </w:p>
          <w:p>
            <w:pPr>
              <w:spacing w:after="20"/>
              <w:ind w:left="20"/>
              <w:jc w:val="both"/>
            </w:pPr>
            <w:r>
              <w:rPr>
                <w:rFonts w:ascii="Times New Roman"/>
                <w:b w:val="false"/>
                <w:i w:val="false"/>
                <w:color w:val="000000"/>
                <w:sz w:val="20"/>
              </w:rPr>
              <w:t xml:space="preserve">
- мемлекеттік құпияларды қамтамасыз ету жөніндегі талаптарды сақтау; </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xml:space="preserve">
-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