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7f13" w14:textId="eaa7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Түркістан облысы әкiмдiгiнiң 2025 жылғы 8 тамыздағы № 168 қаулысы</w:t>
      </w:r>
    </w:p>
    <w:p>
      <w:pPr>
        <w:spacing w:after="0"/>
        <w:ind w:left="0"/>
        <w:jc w:val="both"/>
      </w:pPr>
      <w:bookmarkStart w:name="z1" w:id="0"/>
      <w:r>
        <w:rPr>
          <w:rFonts w:ascii="Times New Roman"/>
          <w:b w:val="false"/>
          <w:i w:val="false"/>
          <w:color w:val="000000"/>
          <w:sz w:val="28"/>
        </w:rPr>
        <w:t xml:space="preserve">
      Қазақстан Республикасы "Білім туралы"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2025-2026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қаулының орындалуын бақылау жетекшілік ететін Түркістан облысы әкімінің орынбасарына жүктелсін. </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2025 жылғы "8" тамыздағы</w:t>
            </w:r>
            <w:r>
              <w:br/>
            </w:r>
            <w:r>
              <w:rPr>
                <w:rFonts w:ascii="Times New Roman"/>
                <w:b w:val="false"/>
                <w:i w:val="false"/>
                <w:color w:val="000000"/>
                <w:sz w:val="20"/>
              </w:rPr>
              <w:t>№ 168 қаулысына қосымша</w:t>
            </w:r>
          </w:p>
        </w:tc>
      </w:tr>
    </w:tbl>
    <w:p>
      <w:pPr>
        <w:spacing w:after="0"/>
        <w:ind w:left="0"/>
        <w:jc w:val="left"/>
      </w:pPr>
      <w:r>
        <w:rPr>
          <w:rFonts w:ascii="Times New Roman"/>
          <w:b/>
          <w:i w:val="false"/>
          <w:color w:val="000000"/>
        </w:rPr>
        <w:t xml:space="preserve"> 2025-2026 оқу жылына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мен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жақындаған аймақта бір айда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01120100 </w:t>
            </w:r>
          </w:p>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01140100 </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01140200 </w:t>
            </w:r>
          </w:p>
          <w:p>
            <w:pPr>
              <w:spacing w:after="20"/>
              <w:ind w:left="20"/>
              <w:jc w:val="both"/>
            </w:pPr>
            <w:r>
              <w:rPr>
                <w:rFonts w:ascii="Times New Roman"/>
                <w:b w:val="false"/>
                <w:i w:val="false"/>
                <w:color w:val="000000"/>
                <w:sz w:val="20"/>
              </w:rPr>
              <w:t xml:space="preserve">
Музыкалық білім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01140500 </w:t>
            </w:r>
          </w:p>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01140600 </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02110300 </w:t>
            </w:r>
          </w:p>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02120100 </w:t>
            </w:r>
          </w:p>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02120200 </w:t>
            </w:r>
          </w:p>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02140100 </w:t>
            </w:r>
          </w:p>
          <w:p>
            <w:pPr>
              <w:spacing w:after="20"/>
              <w:ind w:left="20"/>
              <w:jc w:val="both"/>
            </w:pPr>
            <w:r>
              <w:rPr>
                <w:rFonts w:ascii="Times New Roman"/>
                <w:b w:val="false"/>
                <w:i w:val="false"/>
                <w:color w:val="000000"/>
                <w:sz w:val="20"/>
              </w:rPr>
              <w:t xml:space="preserve">
Сәндік қолданбалы және халықтық кәсіпшілік өнері (бейін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02140200 </w:t>
            </w:r>
          </w:p>
          <w:p>
            <w:pPr>
              <w:spacing w:after="20"/>
              <w:ind w:left="20"/>
              <w:jc w:val="both"/>
            </w:pPr>
            <w:r>
              <w:rPr>
                <w:rFonts w:ascii="Times New Roman"/>
                <w:b w:val="false"/>
                <w:i w:val="false"/>
                <w:color w:val="000000"/>
                <w:sz w:val="20"/>
              </w:rPr>
              <w:t>
Зергерлік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02151000 </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Әлеуметтік ғылымдар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03220200 </w:t>
            </w:r>
          </w:p>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04110100 </w:t>
            </w:r>
          </w:p>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(ерекше білім беруді қажет ететіндер)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05220100 </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06Ақпараттық-коммуникациялық технологиялар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06120100 </w:t>
            </w:r>
          </w:p>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(ерекше білім беруді қажет ететіндер)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 Ақпараттық қауіпсіздік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07110400 </w:t>
            </w:r>
          </w:p>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07130100 </w:t>
            </w:r>
          </w:p>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07130200 </w:t>
            </w:r>
          </w:p>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07130400 </w:t>
            </w:r>
          </w:p>
          <w:p>
            <w:pPr>
              <w:spacing w:after="20"/>
              <w:ind w:left="20"/>
              <w:jc w:val="both"/>
            </w:pPr>
            <w:r>
              <w:rPr>
                <w:rFonts w:ascii="Times New Roman"/>
                <w:b w:val="false"/>
                <w:i w:val="false"/>
                <w:color w:val="000000"/>
                <w:sz w:val="20"/>
              </w:rPr>
              <w:t>
Жылу техникалық жабдықтары және жылу мен жабдықтау жүйелері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07130500 </w:t>
            </w:r>
          </w:p>
          <w:p>
            <w:pPr>
              <w:spacing w:after="20"/>
              <w:ind w:left="20"/>
              <w:jc w:val="both"/>
            </w:pPr>
            <w:r>
              <w:rPr>
                <w:rFonts w:ascii="Times New Roman"/>
                <w:b w:val="false"/>
                <w:i w:val="false"/>
                <w:color w:val="000000"/>
                <w:sz w:val="20"/>
              </w:rPr>
              <w:t>
Жаңартылған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p>
            <w:pPr>
              <w:spacing w:after="20"/>
              <w:ind w:left="20"/>
              <w:jc w:val="both"/>
            </w:pPr>
            <w:r>
              <w:rPr>
                <w:rFonts w:ascii="Times New Roman"/>
                <w:b w:val="false"/>
                <w:i w:val="false"/>
                <w:color w:val="000000"/>
                <w:sz w:val="20"/>
              </w:rPr>
              <w:t>
Темір жолдың элетротехникалық жүйелерін электрмен жабдықтау,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07130700 Электромеханикалық жабдықтарға техникалық қызмет көрсету, жөндеу және пайдалану (түрлері және салалары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07140200 </w:t>
            </w:r>
          </w:p>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07140500 </w:t>
            </w:r>
          </w:p>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Робототехника және кірістірілетін жүйелер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07140700 </w:t>
            </w:r>
          </w:p>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07150100 </w:t>
            </w:r>
          </w:p>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07150300 </w:t>
            </w:r>
          </w:p>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07150500 </w:t>
            </w:r>
          </w:p>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07150600 </w:t>
            </w:r>
          </w:p>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07150700 </w:t>
            </w:r>
          </w:p>
          <w:p>
            <w:pPr>
              <w:spacing w:after="20"/>
              <w:ind w:left="20"/>
              <w:jc w:val="both"/>
            </w:pPr>
            <w:r>
              <w:rPr>
                <w:rFonts w:ascii="Times New Roman"/>
                <w:b w:val="false"/>
                <w:i w:val="false"/>
                <w:color w:val="000000"/>
                <w:sz w:val="20"/>
              </w:rPr>
              <w:t>
Жүк көтергіш машиналар мен транспортерлер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07151100 </w:t>
            </w:r>
          </w:p>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07160500 </w:t>
            </w:r>
          </w:p>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 Теміржолдың вагондар мен рефрижаторлы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 Қашықтықтан басқарылатын авиациялық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07161600 </w:t>
            </w:r>
          </w:p>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07210200 </w:t>
            </w:r>
          </w:p>
          <w:p>
            <w:pPr>
              <w:spacing w:after="20"/>
              <w:ind w:left="20"/>
              <w:jc w:val="both"/>
            </w:pPr>
            <w:r>
              <w:rPr>
                <w:rFonts w:ascii="Times New Roman"/>
                <w:b w:val="false"/>
                <w:i w:val="false"/>
                <w:color w:val="000000"/>
                <w:sz w:val="20"/>
              </w:rPr>
              <w:t>
Сүт және сүт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07210300 </w:t>
            </w:r>
          </w:p>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07210900 </w:t>
            </w:r>
          </w:p>
          <w:p>
            <w:pPr>
              <w:spacing w:after="20"/>
              <w:ind w:left="20"/>
              <w:jc w:val="both"/>
            </w:pPr>
            <w:r>
              <w:rPr>
                <w:rFonts w:ascii="Times New Roman"/>
                <w:b w:val="false"/>
                <w:i w:val="false"/>
                <w:color w:val="000000"/>
                <w:sz w:val="20"/>
              </w:rPr>
              <w:t>
Балық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 Жемістер мен көкөністерді сақтау және қайта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07211300 </w:t>
            </w:r>
          </w:p>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07220700 </w:t>
            </w:r>
          </w:p>
          <w:p>
            <w:pPr>
              <w:spacing w:after="20"/>
              <w:ind w:left="20"/>
              <w:jc w:val="both"/>
            </w:pPr>
            <w:r>
              <w:rPr>
                <w:rFonts w:ascii="Times New Roman"/>
                <w:b w:val="false"/>
                <w:i w:val="false"/>
                <w:color w:val="000000"/>
                <w:sz w:val="20"/>
              </w:rPr>
              <w:t>
Полимерлік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07221400 </w:t>
            </w:r>
          </w:p>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07230100 </w:t>
            </w:r>
          </w:p>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(ерекше білім беруді қажет ететіндер)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07230600 </w:t>
            </w:r>
          </w:p>
          <w:p>
            <w:pPr>
              <w:spacing w:after="20"/>
              <w:ind w:left="20"/>
              <w:jc w:val="both"/>
            </w:pPr>
            <w:r>
              <w:rPr>
                <w:rFonts w:ascii="Times New Roman"/>
                <w:b w:val="false"/>
                <w:i w:val="false"/>
                <w:color w:val="000000"/>
                <w:sz w:val="20"/>
              </w:rPr>
              <w:t>
Талшықты материалдарды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Пайдалы қазбалардың кен орындарын жер астына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07240900 </w:t>
            </w:r>
          </w:p>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07320100 </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(ерекше білім беруді қажет ететіндер)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07320700 </w:t>
            </w:r>
          </w:p>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07321000 </w:t>
            </w:r>
          </w:p>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07321100 </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07321200 </w:t>
            </w:r>
          </w:p>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 Гидротехникалық 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08Ауыл, орман, балықшаруашылығы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 Агрохимия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08110300 </w:t>
            </w:r>
          </w:p>
          <w:p>
            <w:pPr>
              <w:spacing w:after="20"/>
              <w:ind w:left="20"/>
              <w:jc w:val="both"/>
            </w:pPr>
            <w:r>
              <w:rPr>
                <w:rFonts w:ascii="Times New Roman"/>
                <w:b w:val="false"/>
                <w:i w:val="false"/>
                <w:color w:val="000000"/>
                <w:sz w:val="20"/>
              </w:rPr>
              <w:t>
Жеміс-көкөніс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08110400 </w:t>
            </w:r>
          </w:p>
          <w:p>
            <w:pPr>
              <w:spacing w:after="20"/>
              <w:ind w:left="20"/>
              <w:jc w:val="both"/>
            </w:pPr>
            <w:r>
              <w:rPr>
                <w:rFonts w:ascii="Times New Roman"/>
                <w:b w:val="false"/>
                <w:i w:val="false"/>
                <w:color w:val="000000"/>
                <w:sz w:val="20"/>
              </w:rPr>
              <w:t>
Өсімдікті қорғау және карантин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08110500 </w:t>
            </w:r>
          </w:p>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08110700 </w:t>
            </w:r>
          </w:p>
          <w:p>
            <w:pPr>
              <w:spacing w:after="20"/>
              <w:ind w:left="20"/>
              <w:jc w:val="both"/>
            </w:pPr>
            <w:r>
              <w:rPr>
                <w:rFonts w:ascii="Times New Roman"/>
                <w:b w:val="false"/>
                <w:i w:val="false"/>
                <w:color w:val="000000"/>
                <w:sz w:val="20"/>
              </w:rPr>
              <w:t>
Балық шаруашылығы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08210100 </w:t>
            </w:r>
          </w:p>
          <w:p>
            <w:pPr>
              <w:spacing w:after="20"/>
              <w:ind w:left="20"/>
              <w:jc w:val="both"/>
            </w:pPr>
            <w:r>
              <w:rPr>
                <w:rFonts w:ascii="Times New Roman"/>
                <w:b w:val="false"/>
                <w:i w:val="false"/>
                <w:color w:val="000000"/>
                <w:sz w:val="20"/>
              </w:rPr>
              <w:t xml:space="preserve">
Орман шаруашылығы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 Бақ-саябақ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 жылы жай шаруашылығын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09Денсаулық сақтау және әлеуметтік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09230100 </w:t>
            </w:r>
          </w:p>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10120100 </w:t>
            </w:r>
          </w:p>
          <w:p>
            <w:pPr>
              <w:spacing w:after="20"/>
              <w:ind w:left="20"/>
              <w:jc w:val="both"/>
            </w:pPr>
            <w:r>
              <w:rPr>
                <w:rFonts w:ascii="Times New Roman"/>
                <w:b w:val="false"/>
                <w:i w:val="false"/>
                <w:color w:val="000000"/>
                <w:sz w:val="20"/>
              </w:rPr>
              <w:t xml:space="preserve">
Шаштараз өнері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10130100 </w:t>
            </w:r>
          </w:p>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10130200 </w:t>
            </w:r>
          </w:p>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10320100 </w:t>
            </w:r>
          </w:p>
          <w:p>
            <w:pPr>
              <w:spacing w:after="20"/>
              <w:ind w:left="20"/>
              <w:jc w:val="both"/>
            </w:pPr>
            <w:r>
              <w:rPr>
                <w:rFonts w:ascii="Times New Roman"/>
                <w:b w:val="false"/>
                <w:i w:val="false"/>
                <w:color w:val="000000"/>
                <w:sz w:val="20"/>
              </w:rPr>
              <w:t>
Өрт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10320200 </w:t>
            </w:r>
          </w:p>
          <w:p>
            <w:pPr>
              <w:spacing w:after="20"/>
              <w:ind w:left="20"/>
              <w:jc w:val="both"/>
            </w:pPr>
            <w:r>
              <w:rPr>
                <w:rFonts w:ascii="Times New Roman"/>
                <w:b w:val="false"/>
                <w:i w:val="false"/>
                <w:color w:val="000000"/>
                <w:sz w:val="20"/>
              </w:rPr>
              <w:t>
Төтенше жағдайда қорғау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10410200 </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 Ерекше білім беруді қажет ететіндер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