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574c" w14:textId="cbd5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және жоғары оқу орнынан кейінгі білімі бар кадрларды даярлауға арналған мемлекеттік білім беру тапсырысын бекіту туралы" Түркістан облысы әкiмдiгiнiң 2024 жылғы 10 маусымдағы № 108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30 қаңтардағы № 24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жоғары және жоғары оқу орнынан кейінгі білімі бар кадрларды даярлауға арналған мемлекеттік білім беру тапсырысын бекіту туралы" Түркістан облысы әкiмдiгiнiң 2024 жылғы 10 маусымдағы № 108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108 қаулысына қосымша</w:t>
            </w:r>
          </w:p>
        </w:tc>
      </w:tr>
    </w:tbl>
    <w:p>
      <w:pPr>
        <w:spacing w:after="0"/>
        <w:ind w:left="0"/>
        <w:jc w:val="left"/>
      </w:pPr>
      <w:r>
        <w:rPr>
          <w:rFonts w:ascii="Times New Roman"/>
          <w:b/>
          <w:i w:val="false"/>
          <w:color w:val="000000"/>
        </w:rPr>
        <w:t xml:space="preserve"> 2024-2025 оқу жылына жоғары және жоғары оқу орнынан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w:t>
            </w:r>
          </w:p>
          <w:p>
            <w:pPr>
              <w:spacing w:after="20"/>
              <w:ind w:left="20"/>
              <w:jc w:val="both"/>
            </w:pPr>
            <w:r>
              <w:rPr>
                <w:rFonts w:ascii="Times New Roman"/>
                <w:b w:val="false"/>
                <w:i w:val="false"/>
                <w:color w:val="000000"/>
                <w:sz w:val="20"/>
              </w:rPr>
              <w:t>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арналған мемлекеттік білім беру тапсырысы-ның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жылы/жылына</w:t>
            </w:r>
          </w:p>
          <w:p>
            <w:pPr>
              <w:spacing w:after="20"/>
              <w:ind w:left="20"/>
              <w:jc w:val="both"/>
            </w:pPr>
            <w:r>
              <w:rPr>
                <w:rFonts w:ascii="Times New Roman"/>
                <w:b w:val="false"/>
                <w:i w:val="false"/>
                <w:color w:val="000000"/>
                <w:sz w:val="20"/>
              </w:rPr>
              <w:t>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6В10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6В0101 </w:t>
            </w:r>
          </w:p>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 Жалпы</w:t>
            </w:r>
          </w:p>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6В06 </w:t>
            </w:r>
          </w:p>
          <w:p>
            <w:pPr>
              <w:spacing w:after="20"/>
              <w:ind w:left="20"/>
              <w:jc w:val="both"/>
            </w:pPr>
            <w:r>
              <w:rPr>
                <w:rFonts w:ascii="Times New Roman"/>
                <w:b w:val="false"/>
                <w:i w:val="false"/>
                <w:color w:val="000000"/>
                <w:sz w:val="20"/>
              </w:rPr>
              <w:t>
Ақпараттық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6B061 </w:t>
            </w:r>
          </w:p>
          <w:p>
            <w:pPr>
              <w:spacing w:after="20"/>
              <w:ind w:left="20"/>
              <w:jc w:val="both"/>
            </w:pPr>
            <w:r>
              <w:rPr>
                <w:rFonts w:ascii="Times New Roman"/>
                <w:b w:val="false"/>
                <w:i w:val="false"/>
                <w:color w:val="000000"/>
                <w:sz w:val="20"/>
              </w:rPr>
              <w:t>
Ақпараттық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w:t>
            </w:r>
          </w:p>
          <w:p>
            <w:pPr>
              <w:spacing w:after="20"/>
              <w:ind w:left="20"/>
              <w:jc w:val="both"/>
            </w:pPr>
            <w:r>
              <w:rPr>
                <w:rFonts w:ascii="Times New Roman"/>
                <w:b w:val="false"/>
                <w:i w:val="false"/>
                <w:color w:val="000000"/>
                <w:sz w:val="20"/>
              </w:rPr>
              <w:t>
Денсаулық сақтау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w:t>
            </w:r>
          </w:p>
          <w:p>
            <w:pPr>
              <w:spacing w:after="20"/>
              <w:ind w:left="20"/>
              <w:jc w:val="both"/>
            </w:pPr>
            <w:r>
              <w:rPr>
                <w:rFonts w:ascii="Times New Roman"/>
                <w:b w:val="false"/>
                <w:i w:val="false"/>
                <w:color w:val="000000"/>
                <w:sz w:val="20"/>
              </w:rPr>
              <w:t>
Акушерия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w:t>
            </w:r>
          </w:p>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w:t>
            </w:r>
          </w:p>
          <w:p>
            <w:pPr>
              <w:spacing w:after="20"/>
              <w:ind w:left="20"/>
              <w:jc w:val="both"/>
            </w:pPr>
            <w:r>
              <w:rPr>
                <w:rFonts w:ascii="Times New Roman"/>
                <w:b w:val="false"/>
                <w:i w:val="false"/>
                <w:color w:val="000000"/>
                <w:sz w:val="20"/>
              </w:rPr>
              <w:t>
Ангиохирургия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R023</w:t>
            </w:r>
          </w:p>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R004 </w:t>
            </w:r>
          </w:p>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R005</w:t>
            </w:r>
          </w:p>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R012 </w:t>
            </w:r>
          </w:p>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R021 </w:t>
            </w:r>
          </w:p>
          <w:p>
            <w:pPr>
              <w:spacing w:after="20"/>
              <w:ind w:left="20"/>
              <w:jc w:val="both"/>
            </w:pPr>
            <w:r>
              <w:rPr>
                <w:rFonts w:ascii="Times New Roman"/>
                <w:b w:val="false"/>
                <w:i w:val="false"/>
                <w:color w:val="000000"/>
                <w:sz w:val="20"/>
              </w:rPr>
              <w:t>
Жақ сүйек-бет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R001 </w:t>
            </w:r>
          </w:p>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w:t>
            </w:r>
          </w:p>
          <w:p>
            <w:pPr>
              <w:spacing w:after="20"/>
              <w:ind w:left="20"/>
              <w:jc w:val="both"/>
            </w:pPr>
            <w:r>
              <w:rPr>
                <w:rFonts w:ascii="Times New Roman"/>
                <w:b w:val="false"/>
                <w:i w:val="false"/>
                <w:color w:val="000000"/>
                <w:sz w:val="20"/>
              </w:rPr>
              <w:t>
Кардиохирургия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R042 </w:t>
            </w:r>
          </w:p>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w:t>
            </w:r>
          </w:p>
          <w:p>
            <w:pPr>
              <w:spacing w:after="20"/>
              <w:ind w:left="20"/>
              <w:jc w:val="both"/>
            </w:pPr>
            <w:r>
              <w:rPr>
                <w:rFonts w:ascii="Times New Roman"/>
                <w:b w:val="false"/>
                <w:i w:val="false"/>
                <w:color w:val="000000"/>
                <w:sz w:val="20"/>
              </w:rPr>
              <w:t>
Нейрохирургия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R031 </w:t>
            </w:r>
          </w:p>
          <w:p>
            <w:pPr>
              <w:spacing w:after="20"/>
              <w:ind w:left="20"/>
              <w:jc w:val="both"/>
            </w:pPr>
            <w:r>
              <w:rPr>
                <w:rFonts w:ascii="Times New Roman"/>
                <w:b w:val="false"/>
                <w:i w:val="false"/>
                <w:color w:val="000000"/>
                <w:sz w:val="20"/>
              </w:rPr>
              <w:t>
Неонаталогия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R009 </w:t>
            </w:r>
          </w:p>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R024 </w:t>
            </w:r>
          </w:p>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R006 </w:t>
            </w:r>
          </w:p>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R030 </w:t>
            </w:r>
          </w:p>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R014 </w:t>
            </w:r>
          </w:p>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R002</w:t>
            </w:r>
          </w:p>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R025 </w:t>
            </w:r>
          </w:p>
          <w:p>
            <w:pPr>
              <w:spacing w:after="20"/>
              <w:ind w:left="20"/>
              <w:jc w:val="both"/>
            </w:pPr>
            <w:r>
              <w:rPr>
                <w:rFonts w:ascii="Times New Roman"/>
                <w:b w:val="false"/>
                <w:i w:val="false"/>
                <w:color w:val="000000"/>
                <w:sz w:val="20"/>
              </w:rPr>
              <w:t>
Травматология-ортопедия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w:t>
            </w:r>
          </w:p>
          <w:p>
            <w:pPr>
              <w:spacing w:after="20"/>
              <w:ind w:left="20"/>
              <w:jc w:val="both"/>
            </w:pPr>
            <w:r>
              <w:rPr>
                <w:rFonts w:ascii="Times New Roman"/>
                <w:b w:val="false"/>
                <w:i w:val="false"/>
                <w:color w:val="000000"/>
                <w:sz w:val="20"/>
              </w:rPr>
              <w:t>
Физикалық медицина және реабилитация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R008 </w:t>
            </w:r>
          </w:p>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