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e18b" w14:textId="66de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Әскери-қолданбалы және қызметтік-қолданбалы, техникалық және басқа да спорт түрлерінің тізбесін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30 маусымдағы № 112 бұйрығы</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әскери-қолданбалы және қызметтік-қолданбалы, техникалық және басқа да спорт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xml:space="preserve">
      2) осы бұйрықты күшіне енгеннен кейін Қазақстан Республикасы Туризм және спорт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2025 жылғы 30 маусымдағы</w:t>
            </w:r>
            <w:r>
              <w:br/>
            </w:r>
            <w:r>
              <w:rPr>
                <w:rFonts w:ascii="Times New Roman"/>
                <w:b w:val="false"/>
                <w:i w:val="false"/>
                <w:color w:val="000000"/>
                <w:sz w:val="20"/>
              </w:rPr>
              <w:t>№ 112 бұйрығымен бекітілді</w:t>
            </w:r>
          </w:p>
        </w:tc>
      </w:tr>
    </w:tbl>
    <w:bookmarkStart w:name="z10" w:id="8"/>
    <w:p>
      <w:pPr>
        <w:spacing w:after="0"/>
        <w:ind w:left="0"/>
        <w:jc w:val="left"/>
      </w:pPr>
      <w:r>
        <w:rPr>
          <w:rFonts w:ascii="Times New Roman"/>
          <w:b/>
          <w:i w:val="false"/>
          <w:color w:val="000000"/>
        </w:rPr>
        <w:t xml:space="preserve"> Әскери-қолданбалы және қызметтік-қолданбалы,  техникалық және басқа да спорт түрлерінің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Әскери-қолданбалы және қызметтік-қолданбалы, техникалық және</w:t>
            </w:r>
          </w:p>
          <w:p>
            <w:pPr>
              <w:spacing w:after="20"/>
              <w:ind w:left="20"/>
              <w:jc w:val="both"/>
            </w:pPr>
            <w:r>
              <w:rPr>
                <w:rFonts w:ascii="Times New Roman"/>
                <w:b w:val="false"/>
                <w:i w:val="false"/>
                <w:color w:val="000000"/>
                <w:sz w:val="20"/>
              </w:rPr>
              <w:t>
басқа да спорт түрлерінің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Әскери қолданбалы спорт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Әскери-спорттық көпсайыс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және жылдам қозғалу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спорты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лақтыру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жүзу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Кедергілер жолағынан өту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Табельдік қарудан оқ 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снарядтардағы жаттығулар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Армиялық қоян-қолтық ұрыс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Қызметтік-қолданбалы спорт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көпсайыс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көпсайыс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күресі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Дзюдо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Унифайт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жауынгерлік самбо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қол атыс қаруынан 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Өрттен-құтқару 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және атыс қарудан тәжірибелік және тактикалық 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Қызметтік-қолданбалы спорт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көпсайыс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