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529" w14:textId="6edc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"Транснефть-Урал" акционерлік қоғамына шектеулі нысаналы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2025 жылғы 11 сәуірдегі № 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басқару және өзін-өзі басқару туралы" Қазақстан Республикасы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"Транснефть-Урал" акционерлік қоғамына, меншiк иелерi мен жер пайдаланушылардан жер учаскелерін алып қоймастан, Солтүстік Қазақстан облысы Қызылжар ауданы Якорь ауылдық округінде уақытша топырақ сарайы мен топырақты сақтау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көлемі 0,1457 гектар жер учаскесіне 3 жыл мерзімге шектеулі нысаналы пайдалану құқығын (қауымдық сервитут)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бөлінетін болып табылады, шектеулер, ауыртпалықтар және сервитуттар жоқ.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"Қызылжар аудандық жер қатынастары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Солтүстік Қазақстан облысы Қызылжар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Қызылжар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"Транснефть-Урал" акционерлік қоғамына қауымдық сервитут белгіленетін жер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алқаптары бойынша: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санаты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"Якорь-Агро"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