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07dd" w14:textId="9b90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2024 жылғы 12 желтоқсандағы № 318 "Солтүстік Қазақстан облысы Ғабит Мүсірепов атындағы аудан бойынша 2024-2028 жылдарға арналған жайылымдарды геоботаникалық зерттеу негізінде ұсынылатын жайылым айналымының схемасын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26 маусымдағы № 157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2024 жылғы 12 желтоқсандағы № 318 "Солтүстік Қазақстан облысы Ғабит Мүсірепов атындағы аудан бойынша 2024-2028 жылдарға арналған жайылымдарды геоботаникалық зерттеу негізінде ұсынылатын жайылым айналымының схемасын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қаулының 2, 3, 4, 5, 6, 7, 9, 10, 11, 12, 13, 14, 15, 16, 17 </w:t>
      </w:r>
      <w:r>
        <w:rPr>
          <w:rFonts w:ascii="Times New Roman"/>
          <w:b w:val="false"/>
          <w:i w:val="false"/>
          <w:color w:val="000000"/>
          <w:sz w:val="28"/>
        </w:rPr>
        <w:t>қосымшаларда</w:t>
      </w:r>
      <w:r>
        <w:rPr>
          <w:rFonts w:ascii="Times New Roman"/>
          <w:b w:val="false"/>
          <w:i w:val="false"/>
          <w:color w:val="000000"/>
          <w:sz w:val="28"/>
        </w:rPr>
        <w:t xml:space="preserve"> "Схема" сөзі "Ұсынылған схема" деген сөздерге ауыстырылсын.</w:t>
      </w:r>
    </w:p>
    <w:bookmarkEnd w:id="4"/>
    <w:bookmarkStart w:name="z9" w:id="5"/>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жер қатынастары бөлімі" коммуналдық мемлекеттік мекемесі:</w:t>
      </w:r>
    </w:p>
    <w:bookmarkEnd w:id="5"/>
    <w:bookmarkStart w:name="z10"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1" w:id="7"/>
    <w:p>
      <w:pPr>
        <w:spacing w:after="0"/>
        <w:ind w:left="0"/>
        <w:jc w:val="both"/>
      </w:pPr>
      <w:r>
        <w:rPr>
          <w:rFonts w:ascii="Times New Roman"/>
          <w:b w:val="false"/>
          <w:i w:val="false"/>
          <w:color w:val="000000"/>
          <w:sz w:val="28"/>
        </w:rPr>
        <w:t>
      2) осы қаулы ресми жарияланғаннан кейін Солтүстік Қазақстан облысы Ғабит Мүсірепов атындағы аудан әкімдігінің интернет-ресурсында орналастыруды қамтамсыз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жетекшілік ететін Солтүстік Қазақстан облысы Ғабит Мүсірепов атындағы аудан әкімінің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26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7" w:id="10"/>
    <w:p>
      <w:pPr>
        <w:spacing w:after="0"/>
        <w:ind w:left="0"/>
        <w:jc w:val="left"/>
      </w:pPr>
      <w:r>
        <w:rPr>
          <w:rFonts w:ascii="Times New Roman"/>
          <w:b/>
          <w:i w:val="false"/>
          <w:color w:val="000000"/>
        </w:rPr>
        <w:t xml:space="preserve"> Червонный ауылдық округі бойынша геоботаникалық зерттеу негізінде жайылым айналымының ұсынылған схемасы</w:t>
      </w:r>
    </w:p>
    <w:bookmarkEnd w:id="10"/>
    <w:bookmarkStart w:name="z28"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9723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1-2-3-4 - Жайылым айналымының нөмірі</w:t>
      </w:r>
    </w:p>
    <w:bookmarkEnd w:id="12"/>
    <w:bookmarkStart w:name="z3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62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1651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шаруашылығы жануарларын жаю маршруттары, қол жеткізу жайылым пайдаланушылар су көздеріне</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342900"/>
                    </a:xfrm>
                    <a:prstGeom prst="rect">
                      <a:avLst/>
                    </a:prstGeom>
                  </pic:spPr>
                </pic:pic>
              </a:graphicData>
            </a:graphic>
          </wp:inline>
        </w:drawing>
      </w:r>
    </w:p>
    <w:p>
      <w:pPr>
        <w:spacing w:after="0"/>
        <w:ind w:left="0"/>
        <w:jc w:val="left"/>
      </w:pPr>
      <w:r>
        <w:rPr>
          <w:rFonts w:ascii="Times New Roman"/>
          <w:b w:val="false"/>
          <w:i w:val="false"/>
          <w:color w:val="000000"/>
          <w:sz w:val="28"/>
        </w:rPr>
        <w:t>- Табиғи және жасанды су қоймалары</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Өзендер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26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157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45" w:id="16"/>
    <w:p>
      <w:pPr>
        <w:spacing w:after="0"/>
        <w:ind w:left="0"/>
        <w:jc w:val="left"/>
      </w:pPr>
      <w:r>
        <w:rPr>
          <w:rFonts w:ascii="Times New Roman"/>
          <w:b/>
          <w:i w:val="false"/>
          <w:color w:val="000000"/>
        </w:rPr>
        <w:t xml:space="preserve"> Возвышен ауылдық округі бойынша геоботаникалық зерттеу негізінде жайылым айналымының ұсынылған схемасы</w:t>
      </w:r>
    </w:p>
    <w:bookmarkEnd w:id="16"/>
    <w:bookmarkStart w:name="z4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1-2-3-4 - Жайылым айналымының нөмірі</w:t>
      </w:r>
    </w:p>
    <w:bookmarkEnd w:id="18"/>
    <w:bookmarkStart w:name="z4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62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165100"/>
                    </a:xfrm>
                    <a:prstGeom prst="rect">
                      <a:avLst/>
                    </a:prstGeom>
                  </pic:spPr>
                </pic:pic>
              </a:graphicData>
            </a:graphic>
          </wp:inline>
        </w:drawing>
      </w:r>
    </w:p>
    <w:p>
      <w:pPr>
        <w:spacing w:after="0"/>
        <w:ind w:left="0"/>
        <w:jc w:val="left"/>
      </w:pPr>
      <w:r>
        <w:rPr>
          <w:rFonts w:ascii="Times New Roman"/>
          <w:b w:val="false"/>
          <w:i w:val="false"/>
          <w:color w:val="000000"/>
          <w:sz w:val="28"/>
        </w:rPr>
        <w:t>- Ауыл шаруашылығы жануарларын жаю маршруттары, қол жеткізу жайылым пайдаланушылар су көздеріне</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 cy="342900"/>
                    </a:xfrm>
                    <a:prstGeom prst="rect">
                      <a:avLst/>
                    </a:prstGeom>
                  </pic:spPr>
                </pic:pic>
              </a:graphicData>
            </a:graphic>
          </wp:inline>
        </w:drawing>
      </w:r>
    </w:p>
    <w:p>
      <w:pPr>
        <w:spacing w:after="0"/>
        <w:ind w:left="0"/>
        <w:jc w:val="left"/>
      </w:pPr>
      <w:r>
        <w:rPr>
          <w:rFonts w:ascii="Times New Roman"/>
          <w:b w:val="false"/>
          <w:i w:val="false"/>
          <w:color w:val="000000"/>
          <w:sz w:val="28"/>
        </w:rPr>
        <w:t>- Табиғи және жасанды су қоймалары</w:t>
      </w:r>
      <w:r>
        <w:br/>
      </w:r>
      <w:r>
        <w:rPr>
          <w:rFonts w:ascii="Times New Roman"/>
          <w:b w:val="false"/>
          <w:i w:val="false"/>
          <w:color w:val="000000"/>
          <w:sz w:val="28"/>
        </w:rPr>
        <w:t>
</w:t>
      </w:r>
    </w:p>
    <w:bookmarkStart w:name="z5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Өзендер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