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9452" w14:textId="9509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арналған жоғары және жоғары оқу орнынан кейінгі білімі бар кадрларды даярлауға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9 желтоқсандағы № 356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2025-2026 оқу жылына арналған жоғары және жоғары оқу орнынан кейінгі білімі бар кадрларды даярлауға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денсаулық сақтау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орынбасарына жүктелсін. </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01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 2026 оқу жылына арналған жоғары және жоғары оқу орнынан кейінгі білімі бар кадрларды даярлауға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саласының коды мен сыныптауышы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 мен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оқу жылына арналған мемлекеттік білім беру тапсырысының көлемі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7R01 </w:t>
            </w:r>
          </w:p>
          <w:bookmarkEnd w:id="8"/>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7R01140 </w:t>
            </w:r>
          </w:p>
          <w:bookmarkEnd w:id="9"/>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7R01101 </w:t>
            </w:r>
          </w:p>
          <w:bookmarkEnd w:id="10"/>
          <w:p>
            <w:pPr>
              <w:spacing w:after="20"/>
              <w:ind w:left="20"/>
              <w:jc w:val="both"/>
            </w:pPr>
            <w:r>
              <w:rPr>
                <w:rFonts w:ascii="Times New Roman"/>
                <w:b w:val="false"/>
                <w:i w:val="false"/>
                <w:color w:val="000000"/>
                <w:sz w:val="20"/>
              </w:rPr>
              <w:t>
Кардиология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7R01114</w:t>
            </w:r>
          </w:p>
          <w:bookmarkEnd w:id="11"/>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7R01127 </w:t>
            </w:r>
          </w:p>
          <w:bookmarkEnd w:id="12"/>
          <w:p>
            <w:pPr>
              <w:spacing w:after="20"/>
              <w:ind w:left="20"/>
              <w:jc w:val="both"/>
            </w:pPr>
            <w:r>
              <w:rPr>
                <w:rFonts w:ascii="Times New Roman"/>
                <w:b w:val="false"/>
                <w:i w:val="false"/>
                <w:color w:val="000000"/>
                <w:sz w:val="20"/>
              </w:rPr>
              <w:t>
Офтальмология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7R01108 </w:t>
            </w:r>
          </w:p>
          <w:bookmarkEnd w:id="13"/>
          <w:p>
            <w:pPr>
              <w:spacing w:after="20"/>
              <w:ind w:left="20"/>
              <w:jc w:val="both"/>
            </w:pPr>
            <w:r>
              <w:rPr>
                <w:rFonts w:ascii="Times New Roman"/>
                <w:b w:val="false"/>
                <w:i w:val="false"/>
                <w:color w:val="000000"/>
                <w:sz w:val="20"/>
              </w:rPr>
              <w:t>
Эндокринология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7R01132 </w:t>
            </w:r>
          </w:p>
          <w:bookmarkEnd w:id="14"/>
          <w:p>
            <w:pPr>
              <w:spacing w:after="20"/>
              <w:ind w:left="20"/>
              <w:jc w:val="both"/>
            </w:pPr>
            <w:r>
              <w:rPr>
                <w:rFonts w:ascii="Times New Roman"/>
                <w:b w:val="false"/>
                <w:i w:val="false"/>
                <w:color w:val="000000"/>
                <w:sz w:val="20"/>
              </w:rPr>
              <w:t>
Акушерия және гинекология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7R01137</w:t>
            </w:r>
          </w:p>
          <w:bookmarkEnd w:id="15"/>
          <w:p>
            <w:pPr>
              <w:spacing w:after="20"/>
              <w:ind w:left="20"/>
              <w:jc w:val="both"/>
            </w:pPr>
            <w:r>
              <w:rPr>
                <w:rFonts w:ascii="Times New Roman"/>
                <w:b w:val="false"/>
                <w:i w:val="false"/>
                <w:color w:val="000000"/>
                <w:sz w:val="20"/>
              </w:rPr>
              <w:t>
Неврология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7R01136</w:t>
            </w:r>
          </w:p>
          <w:bookmarkEnd w:id="16"/>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7R01125 </w:t>
            </w:r>
          </w:p>
          <w:bookmarkEnd w:id="17"/>
          <w:p>
            <w:pPr>
              <w:spacing w:after="20"/>
              <w:ind w:left="20"/>
              <w:jc w:val="both"/>
            </w:pPr>
            <w:r>
              <w:rPr>
                <w:rFonts w:ascii="Times New Roman"/>
                <w:b w:val="false"/>
                <w:i w:val="false"/>
                <w:color w:val="000000"/>
                <w:sz w:val="20"/>
              </w:rPr>
              <w:t>
Травматология-ортопедия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7R01112 </w:t>
            </w:r>
          </w:p>
          <w:bookmarkEnd w:id="18"/>
          <w:p>
            <w:pPr>
              <w:spacing w:after="20"/>
              <w:ind w:left="20"/>
              <w:jc w:val="both"/>
            </w:pPr>
            <w:r>
              <w:rPr>
                <w:rFonts w:ascii="Times New Roman"/>
                <w:b w:val="false"/>
                <w:i w:val="false"/>
                <w:color w:val="000000"/>
                <w:sz w:val="20"/>
              </w:rPr>
              <w:t>
Дерматовенерология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7R01120 </w:t>
            </w:r>
          </w:p>
          <w:bookmarkEnd w:id="19"/>
          <w:p>
            <w:pPr>
              <w:spacing w:after="20"/>
              <w:ind w:left="20"/>
              <w:jc w:val="both"/>
            </w:pPr>
            <w:r>
              <w:rPr>
                <w:rFonts w:ascii="Times New Roman"/>
                <w:b w:val="false"/>
                <w:i w:val="false"/>
                <w:color w:val="000000"/>
                <w:sz w:val="20"/>
              </w:rPr>
              <w:t>
Нейрохирургия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7R01131 </w:t>
            </w:r>
          </w:p>
          <w:bookmarkEnd w:id="20"/>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xml:space="preserve">
7R01109 </w:t>
            </w:r>
          </w:p>
          <w:bookmarkEnd w:id="21"/>
          <w:p>
            <w:pPr>
              <w:spacing w:after="20"/>
              <w:ind w:left="20"/>
              <w:jc w:val="both"/>
            </w:pPr>
            <w:r>
              <w:rPr>
                <w:rFonts w:ascii="Times New Roman"/>
                <w:b w:val="false"/>
                <w:i w:val="false"/>
                <w:color w:val="000000"/>
                <w:sz w:val="20"/>
              </w:rPr>
              <w:t>
Нефрология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7R01128</w:t>
            </w:r>
          </w:p>
          <w:bookmarkEnd w:id="22"/>
          <w:p>
            <w:pPr>
              <w:spacing w:after="20"/>
              <w:ind w:left="20"/>
              <w:jc w:val="both"/>
            </w:pPr>
            <w:r>
              <w:rPr>
                <w:rFonts w:ascii="Times New Roman"/>
                <w:b w:val="false"/>
                <w:i w:val="false"/>
                <w:color w:val="000000"/>
                <w:sz w:val="20"/>
              </w:rPr>
              <w:t>
Оториноларингология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7R01113 </w:t>
            </w:r>
          </w:p>
          <w:bookmarkEnd w:id="23"/>
          <w:p>
            <w:pPr>
              <w:spacing w:after="20"/>
              <w:ind w:left="20"/>
              <w:jc w:val="both"/>
            </w:pPr>
            <w:r>
              <w:rPr>
                <w:rFonts w:ascii="Times New Roman"/>
                <w:b w:val="false"/>
                <w:i w:val="false"/>
                <w:color w:val="000000"/>
                <w:sz w:val="20"/>
              </w:rPr>
              <w:t>
Психиатрия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