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06c98" w14:textId="4306c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Нысаналы жарнаны пайдалану туралы есептілікті жасау, оны ұсыну нысандары мен мерзімдерін, сондай-ақ нысаналы жарнаны пайдаланудың барысы мен нәтижелері туралы ұсынылатын ақпаратқа қойылатын талаптардың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2025 жылғы 30 мамырдағы № 368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168-бабының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нысаналы жарнаны пайдалану туралы есептілікті жасау, оны ұсыну нысандары мен мерзімдерін, сондай-ақ нысаналы жарнаны пайдаланудың барысы мен нәтижелері туралы ұсынылатын ақпаратқа қойылатын талаптардың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3"/>
    <w:bookmarkStart w:name="z8" w:id="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10" w:id="6"/>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6"/>
    <w:bookmarkStart w:name="z11"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7"/>
    <w:bookmarkStart w:name="z12"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2025 жылғы 1 қантардан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Амангелдиев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2025 жылғы 30 мамырдағы</w:t>
            </w:r>
            <w:r>
              <w:br/>
            </w:r>
            <w:r>
              <w:rPr>
                <w:rFonts w:ascii="Times New Roman"/>
                <w:b w:val="false"/>
                <w:i w:val="false"/>
                <w:color w:val="000000"/>
                <w:sz w:val="20"/>
              </w:rPr>
              <w:t>№ 368 бұйрығымен</w:t>
            </w:r>
            <w:r>
              <w:br/>
            </w: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Нысаналы жарнаны пайдалану туралы есептілікті жасау, оны ұсыну нысандары мен мерзімдерін, сондай-ақ нысаналы жарнаны пайдаланудың барысы мен нәтижелері туралы ұсынылатын ақпаратқа қойылатын талаптардың қағидалары</w:t>
      </w:r>
    </w:p>
    <w:bookmarkEnd w:id="9"/>
    <w:bookmarkStart w:name="z19" w:id="10"/>
    <w:p>
      <w:pPr>
        <w:spacing w:after="0"/>
        <w:ind w:left="0"/>
        <w:jc w:val="left"/>
      </w:pPr>
      <w:r>
        <w:rPr>
          <w:rFonts w:ascii="Times New Roman"/>
          <w:b/>
          <w:i w:val="false"/>
          <w:color w:val="000000"/>
        </w:rPr>
        <w:t xml:space="preserve"> 1 тарау. Жалпы ережелер</w:t>
      </w:r>
    </w:p>
    <w:bookmarkEnd w:id="10"/>
    <w:bookmarkStart w:name="z20" w:id="11"/>
    <w:p>
      <w:pPr>
        <w:spacing w:after="0"/>
        <w:ind w:left="0"/>
        <w:jc w:val="both"/>
      </w:pPr>
      <w:r>
        <w:rPr>
          <w:rFonts w:ascii="Times New Roman"/>
          <w:b w:val="false"/>
          <w:i w:val="false"/>
          <w:color w:val="000000"/>
          <w:sz w:val="28"/>
        </w:rPr>
        <w:t xml:space="preserve">
      1. Осы нысаналы жарнаны пайдалану туралы есептілікті жасау, оны ұсыну нысандары мен мерзімдерін, сондай-ақ нысаналы жарнаны пайдаланудың барысы мен нәтижелері туралы ұсынылатын ақпаратқа қойылатын талаптардың қағидалары (бұдан әрі – Қағидалар) Қазақстан Республикасы Бюджет кодексінің 168-бабының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w:t>
      </w:r>
    </w:p>
    <w:bookmarkEnd w:id="11"/>
    <w:bookmarkStart w:name="z21"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2" w:id="13"/>
    <w:p>
      <w:pPr>
        <w:spacing w:after="0"/>
        <w:ind w:left="0"/>
        <w:jc w:val="both"/>
      </w:pPr>
      <w:r>
        <w:rPr>
          <w:rFonts w:ascii="Times New Roman"/>
          <w:b w:val="false"/>
          <w:i w:val="false"/>
          <w:color w:val="000000"/>
          <w:sz w:val="28"/>
        </w:rPr>
        <w:t>
      1) әлеуметтік медициналық сақтандыру қоры (бұдан әрі – қор) – аударымдар мен жарналарды шоғырландыруды жүргізетін, сондай-ақ медициналық көрсетілетін қызметтерді сатып алу шартында көзделген көлемдерде және талаптармен медициналық көмек көрсететін денсаулық сақтау субъектілерінің көрсетілетін қызметтерін сатып алу мен оларға ақы төлеуді және Қазақстан Республикасының заңдарында айқындалған өзге де функцияларды жүзеге асыратын коммерциялық емес ұйым;</w:t>
      </w:r>
    </w:p>
    <w:bookmarkEnd w:id="13"/>
    <w:bookmarkStart w:name="z23" w:id="1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4"/>
    <w:bookmarkStart w:name="z24" w:id="15"/>
    <w:p>
      <w:pPr>
        <w:spacing w:after="0"/>
        <w:ind w:left="0"/>
        <w:jc w:val="both"/>
      </w:pPr>
      <w:r>
        <w:rPr>
          <w:rFonts w:ascii="Times New Roman"/>
          <w:b w:val="false"/>
          <w:i w:val="false"/>
          <w:color w:val="000000"/>
          <w:sz w:val="28"/>
        </w:rPr>
        <w:t>
      3) тегін медициналық көмектің кепілдік берілген көлемі – бюджет қаражаты есебінен берілетін медициналық көмектің көлемі;</w:t>
      </w:r>
    </w:p>
    <w:bookmarkEnd w:id="15"/>
    <w:bookmarkStart w:name="z25" w:id="16"/>
    <w:p>
      <w:pPr>
        <w:spacing w:after="0"/>
        <w:ind w:left="0"/>
        <w:jc w:val="both"/>
      </w:pPr>
      <w:r>
        <w:rPr>
          <w:rFonts w:ascii="Times New Roman"/>
          <w:b w:val="false"/>
          <w:i w:val="false"/>
          <w:color w:val="000000"/>
          <w:sz w:val="28"/>
        </w:rPr>
        <w:t>
      4) міндетті әлеуметтік медициналық сақтандыру – әлеуметтік медициналық сақтандыру қорының активтері есебінен медициналық көрсетілетін қызметтерді тұтынушыларға медициналық көмек көрсету жөніндегі құқықтық, экономикалық және ұйымдастырушылық шаралар кешені;</w:t>
      </w:r>
    </w:p>
    <w:bookmarkEnd w:id="16"/>
    <w:bookmarkStart w:name="z26" w:id="17"/>
    <w:p>
      <w:pPr>
        <w:spacing w:after="0"/>
        <w:ind w:left="0"/>
        <w:jc w:val="both"/>
      </w:pPr>
      <w:r>
        <w:rPr>
          <w:rFonts w:ascii="Times New Roman"/>
          <w:b w:val="false"/>
          <w:i w:val="false"/>
          <w:color w:val="000000"/>
          <w:sz w:val="28"/>
        </w:rPr>
        <w:t>
      5) республикалық бюджеттен әлеуметтік медициналық сақтандыру қорына:</w:t>
      </w:r>
    </w:p>
    <w:bookmarkEnd w:id="17"/>
    <w:bookmarkStart w:name="z27" w:id="18"/>
    <w:p>
      <w:pPr>
        <w:spacing w:after="0"/>
        <w:ind w:left="0"/>
        <w:jc w:val="both"/>
      </w:pPr>
      <w:r>
        <w:rPr>
          <w:rFonts w:ascii="Times New Roman"/>
          <w:b w:val="false"/>
          <w:i w:val="false"/>
          <w:color w:val="000000"/>
          <w:sz w:val="28"/>
        </w:rPr>
        <w:t>
      тегін медициналық көмектің кепілдік берілген көлемі шеңберінде қызметтердің көрсетілгеніне ақы төлеу үшін;</w:t>
      </w:r>
    </w:p>
    <w:bookmarkEnd w:id="18"/>
    <w:bookmarkStart w:name="z28" w:id="19"/>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w:t>
      </w:r>
    </w:p>
    <w:bookmarkEnd w:id="19"/>
    <w:bookmarkStart w:name="z29" w:id="20"/>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 үшін берілетін өтеусіз және қайтарымсыз төлемдер нысаналы жарна болып табылады.</w:t>
      </w:r>
    </w:p>
    <w:bookmarkEnd w:id="20"/>
    <w:bookmarkStart w:name="z30" w:id="21"/>
    <w:p>
      <w:pPr>
        <w:spacing w:after="0"/>
        <w:ind w:left="0"/>
        <w:jc w:val="left"/>
      </w:pPr>
      <w:r>
        <w:rPr>
          <w:rFonts w:ascii="Times New Roman"/>
          <w:b/>
          <w:i w:val="false"/>
          <w:color w:val="000000"/>
        </w:rPr>
        <w:t xml:space="preserve"> 2 тарау. Нысаналы жарнаны пайдалану туралы есептілікті жасау, оны ұсыну нысандары мен мерзімдерін, сондай-ақ нысаналы жарнаны пайдаланудың барысы мен нәтижелері туралы ұсынылатын ақпаратқа қойылатын талаптары тәртібі</w:t>
      </w:r>
    </w:p>
    <w:bookmarkEnd w:id="21"/>
    <w:bookmarkStart w:name="z31" w:id="22"/>
    <w:p>
      <w:pPr>
        <w:spacing w:after="0"/>
        <w:ind w:left="0"/>
        <w:jc w:val="both"/>
      </w:pPr>
      <w:r>
        <w:rPr>
          <w:rFonts w:ascii="Times New Roman"/>
          <w:b w:val="false"/>
          <w:i w:val="false"/>
          <w:color w:val="000000"/>
          <w:sz w:val="28"/>
        </w:rPr>
        <w:t>
      3. Нысаналы жарнаны пайдалану туралы есептілікті жасау процесінің қатысушылары:</w:t>
      </w:r>
    </w:p>
    <w:bookmarkEnd w:id="22"/>
    <w:bookmarkStart w:name="z32" w:id="23"/>
    <w:p>
      <w:pPr>
        <w:spacing w:after="0"/>
        <w:ind w:left="0"/>
        <w:jc w:val="both"/>
      </w:pPr>
      <w:r>
        <w:rPr>
          <w:rFonts w:ascii="Times New Roman"/>
          <w:b w:val="false"/>
          <w:i w:val="false"/>
          <w:color w:val="000000"/>
          <w:sz w:val="28"/>
        </w:rPr>
        <w:t>
      1) уәкілетті орган;</w:t>
      </w:r>
    </w:p>
    <w:bookmarkEnd w:id="23"/>
    <w:bookmarkStart w:name="z33" w:id="24"/>
    <w:p>
      <w:pPr>
        <w:spacing w:after="0"/>
        <w:ind w:left="0"/>
        <w:jc w:val="both"/>
      </w:pPr>
      <w:r>
        <w:rPr>
          <w:rFonts w:ascii="Times New Roman"/>
          <w:b w:val="false"/>
          <w:i w:val="false"/>
          <w:color w:val="000000"/>
          <w:sz w:val="28"/>
        </w:rPr>
        <w:t>
      2) қор.</w:t>
      </w:r>
    </w:p>
    <w:bookmarkEnd w:id="24"/>
    <w:bookmarkStart w:name="z34" w:id="25"/>
    <w:p>
      <w:pPr>
        <w:spacing w:after="0"/>
        <w:ind w:left="0"/>
        <w:jc w:val="both"/>
      </w:pPr>
      <w:r>
        <w:rPr>
          <w:rFonts w:ascii="Times New Roman"/>
          <w:b w:val="false"/>
          <w:i w:val="false"/>
          <w:color w:val="000000"/>
          <w:sz w:val="28"/>
        </w:rPr>
        <w:t xml:space="preserve">
      4. Қор "Әлеуметтік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 Қазақстан Республикасы Денсаулық сақтау министрінің 2017 жылғы 16 тамыздағы № 612 бұйрығына (Нормативтік құқықтық актілерді мемлекеттік тіркеу тізілімінде № 15661 болып тіркелген), (бұдан әрі – № 612 бұйрық) </w:t>
      </w:r>
      <w:r>
        <w:rPr>
          <w:rFonts w:ascii="Times New Roman"/>
          <w:b w:val="false"/>
          <w:i w:val="false"/>
          <w:color w:val="000000"/>
          <w:sz w:val="28"/>
        </w:rPr>
        <w:t>1-қосымшада</w:t>
      </w:r>
      <w:r>
        <w:rPr>
          <w:rFonts w:ascii="Times New Roman"/>
          <w:b w:val="false"/>
          <w:i w:val="false"/>
          <w:color w:val="000000"/>
          <w:sz w:val="28"/>
        </w:rPr>
        <w:t xml:space="preserve"> көрсетілген мерзімдерде нысаналы жарнаны пайдалану туралы есептерді уәкілетті органға ұсынады.</w:t>
      </w:r>
    </w:p>
    <w:bookmarkEnd w:id="25"/>
    <w:bookmarkStart w:name="z35" w:id="26"/>
    <w:p>
      <w:pPr>
        <w:spacing w:after="0"/>
        <w:ind w:left="0"/>
        <w:jc w:val="both"/>
      </w:pPr>
      <w:r>
        <w:rPr>
          <w:rFonts w:ascii="Times New Roman"/>
          <w:b w:val="false"/>
          <w:i w:val="false"/>
          <w:color w:val="000000"/>
          <w:sz w:val="28"/>
        </w:rPr>
        <w:t xml:space="preserve">
      5. Қор нысаналы жарнаны пайдалану туралы есептерді № 612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11-қосымшаларға</w:t>
      </w:r>
      <w:r>
        <w:rPr>
          <w:rFonts w:ascii="Times New Roman"/>
          <w:b w:val="false"/>
          <w:i w:val="false"/>
          <w:color w:val="000000"/>
          <w:sz w:val="28"/>
        </w:rPr>
        <w:t xml:space="preserve"> сәйкес нысандар бойынша уәкілетті органға ұсынады.</w:t>
      </w:r>
    </w:p>
    <w:bookmarkEnd w:id="26"/>
    <w:bookmarkStart w:name="z36" w:id="27"/>
    <w:p>
      <w:pPr>
        <w:spacing w:after="0"/>
        <w:ind w:left="0"/>
        <w:jc w:val="both"/>
      </w:pPr>
      <w:r>
        <w:rPr>
          <w:rFonts w:ascii="Times New Roman"/>
          <w:b w:val="false"/>
          <w:i w:val="false"/>
          <w:color w:val="000000"/>
          <w:sz w:val="28"/>
        </w:rPr>
        <w:t>
      6. Нысаналы жарнаны пайдаланудың барысы мен нәтижелері туралы есептік ақпарат қордың және уәкілетті органның ақпараттық жүйелерінің деректері негізінде қалыптастырылады.</w:t>
      </w:r>
    </w:p>
    <w:bookmarkEnd w:id="27"/>
    <w:bookmarkStart w:name="z37" w:id="28"/>
    <w:p>
      <w:pPr>
        <w:spacing w:after="0"/>
        <w:ind w:left="0"/>
        <w:jc w:val="both"/>
      </w:pPr>
      <w:r>
        <w:rPr>
          <w:rFonts w:ascii="Times New Roman"/>
          <w:b w:val="false"/>
          <w:i w:val="false"/>
          <w:color w:val="000000"/>
          <w:sz w:val="28"/>
        </w:rPr>
        <w:t>
      7. Қор:</w:t>
      </w:r>
    </w:p>
    <w:bookmarkEnd w:id="28"/>
    <w:bookmarkStart w:name="z38" w:id="29"/>
    <w:p>
      <w:pPr>
        <w:spacing w:after="0"/>
        <w:ind w:left="0"/>
        <w:jc w:val="both"/>
      </w:pPr>
      <w:r>
        <w:rPr>
          <w:rFonts w:ascii="Times New Roman"/>
          <w:b w:val="false"/>
          <w:i w:val="false"/>
          <w:color w:val="000000"/>
          <w:sz w:val="28"/>
        </w:rPr>
        <w:t>
      1) № 612 бұйрыққа қосымшаларда бекітілген нысандар мен мерзімдерге сәйкес есептілікті уақтылы ұсынуды;</w:t>
      </w:r>
    </w:p>
    <w:bookmarkEnd w:id="29"/>
    <w:bookmarkStart w:name="z39" w:id="30"/>
    <w:p>
      <w:pPr>
        <w:spacing w:after="0"/>
        <w:ind w:left="0"/>
        <w:jc w:val="both"/>
      </w:pPr>
      <w:r>
        <w:rPr>
          <w:rFonts w:ascii="Times New Roman"/>
          <w:b w:val="false"/>
          <w:i w:val="false"/>
          <w:color w:val="000000"/>
          <w:sz w:val="28"/>
        </w:rPr>
        <w:t>
      2) нысаналы жарна қаражатын орындамау/ауытқулар себептерін және пайдалану нәтижелерін көрсете отырып, жоспарлы мәндерден нақты орындаудың ауытқулары бойынша түсіндірме жазба ұсынуды қамтамасыз етеді.</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