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2154" w14:textId="1292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әкімдігінің 2025 жылғы 14 қазандағы № 234/10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және Қазақстан Республикасы Премьер-Министрінің 2025 жылғы 17 қаңтардағы № 11-р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ауданында қоғамдық жұмыстарға тарту түріндегі жазаға сотталған адамдарға арналған қоғамдық жұмыстардың түрлері және қоғамдық жұмыстар орындалуға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Май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"Майтубек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 Көктүбек ауылдық округі әкімінің аппараты""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 Баскөл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 Қазан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 Кеңтүбек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 Малайсары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 Саты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 Қаратерек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 Май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ауданы Ақшиман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