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e704" w14:textId="e39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2025 жылғы 18 қыркүйектегі № 1-16/237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және Қазақстан Республикасы Премьер-Министрінің 2025 жылғы 17 қаңтардағы № 11-р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"Аққулы ауданының жұмыспен қамту және әлеуметтік бағдарламалар бөлімі" мемлекеттік мекемесі: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қажетті шараларды қолдансын.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сала және экономика мәселелері жөніндегі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"18"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1-16/237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"Баймолдин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"Қызылағаш ауылдық округ іәкімінің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"Қарақала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"Майқарағай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"Ямышев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жинау, тазалау;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отырғызу, ағарту;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Ғимаратты, қоршаудыбояу, әктеу; Шөпшабу;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