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cbaf" w14:textId="919c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2024 жылғы 27 желтоқсандағы "2025 – 2027 жылдарға арналған Ертіс ауданының ауылдар және ауылдық округтерінің бюджеті туралы" № 112-30-8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8 желтоқсандағы № 146-43-8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2024 жылғы 27 желтоқсандағы "2025 - 2027 жылдарға арналған Ертіс ауданының ауылдар және ауылдық округтерінің бюджеті туралы" № 112-30-8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Ағашорын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Аманкелді ауылдық округінің бюджеті тиісінше 4, 5 және 6-қосымшаларға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Байзақов ауылдық округінің бюджеті тиісінше 7, 8 және 9-қосымшаларға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106145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Голубовка ауылының бюджеті тиісінше 10, 11 және 12-қосымшаларға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– 2027 жылдарға арналған Ертіс ауылының бюджеті тиісінше 13, 14 және 15-қосымшаларға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423747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21982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– 2027 жылдарға арналған Қарақұдық ауылдық округінің бюджеті тиісінше 16, 17 және 18-қосымшаларға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– 2027 жылдарға арналған Қоскөл ауылдық округінің бюджеті тиісінше 19, 20 және 21-қосымшаларға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2772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– 2027 жылдарға арналған Қызылжар ауылдық округінің бюджеті тиісінше 22, 23 және 24-қосымшаларға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8077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– 2027 жылдарға арналған Майқоңыр ауылының бюджеті тиісінше 25, 26 және 27-қосымшаларға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144118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– 2027 жылдарға арналған Панфилов ауылдық округінің бюджеті тиісінше 28, 29 және 30-қосымшаларға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140516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– 2027 жылдарға арналған Северный ауылдық округінің бюджеті тиісінше 31, 32 және 33-қосымшаларға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– 2027 жылдарға арналған Сілеті ауылдық округінің бюджеті тиісінше 34, 35 және 36-қосымшаларға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28,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Ағашорын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Аманкелді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Голубовка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Майқоңыр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Панфилов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146-43-8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