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a54a" w14:textId="897a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2025 жылғы 28 қарашадағы № 289/37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салығының мөлшерлемесінің мөлшері есепті салықтық кезенде салық салу объектісіне 4 (төрт) пайыздан 3 (үш) пайызға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