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29db" w14:textId="5312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жүйесінің техникалық құралдары тиесілілігінің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10 сәуірдегі № 130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Азаматтық қорғаудың құлақтандыру жүйесінің техникалық құралдары тиесілілігінің заттай нормалары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2021 жылғы 9 желтоқсандағы № 584 "Азаматтық қорғаудың құлақтандыру жүйесінің техникалық құралдары тиесілілігінің заттай нормаларын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Ақпараттандыру, цифрландыру және байланыс департаменті:</w:t>
      </w:r>
    </w:p>
    <w:bookmarkEnd w:id="3"/>
    <w:bookmarkStart w:name="z5" w:id="4"/>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сәуірдегі</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қорғаудың құлақтандыру жүйесінің техникалық құралдары тиесілілігінің заттай нормалары</w:t>
      </w:r>
    </w:p>
    <w:bookmarkEnd w:id="8"/>
    <w:bookmarkStart w:name="z11" w:id="9"/>
    <w:p>
      <w:pPr>
        <w:spacing w:after="0"/>
        <w:ind w:left="0"/>
        <w:jc w:val="left"/>
      </w:pPr>
      <w:r>
        <w:rPr>
          <w:rFonts w:ascii="Times New Roman"/>
          <w:b/>
          <w:i w:val="false"/>
          <w:color w:val="000000"/>
        </w:rPr>
        <w:t xml:space="preserve"> № 1 норма. Құлақтандырудың техникалық құралдары кешендерінің тиесілілігі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облыс орталықтары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бағыныстағы қалалар, аудан орталықтары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деңгей (жергілікті құлақтандыру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 пульті (халықты құлақтандырудың соңғы құралдарын іске қосу және мониторингілеу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радиохабарларды қармаудың техникалық құралдарының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циркулярлық шақырудың аппараттық-бағдарламалық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арналары бойынша CellBroadcast технологиясы арқылы тарату ауқымы кең мәтіндік хабарламаларды тарататын техникалық құралдар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жұмыс істейтін әрбір ұялы байланыс операторына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12" w:id="10"/>
    <w:p>
      <w:pPr>
        <w:spacing w:after="0"/>
        <w:ind w:left="0"/>
        <w:jc w:val="both"/>
      </w:pPr>
      <w:r>
        <w:rPr>
          <w:rFonts w:ascii="Times New Roman"/>
          <w:b w:val="false"/>
          <w:i w:val="false"/>
          <w:color w:val="000000"/>
          <w:sz w:val="28"/>
        </w:rPr>
        <w:t>
      Құлақтандырудың техникалық құралдары кешендері талап етілетін көлемдерінің ұсынылған есептеулері үлгілік болып табылады және қолданылатын жабдықты өндірушілердің модельдеріне, қосу схемаларына және басқару тәсілдеріне тәуелді емес.</w:t>
      </w:r>
    </w:p>
    <w:bookmarkEnd w:id="10"/>
    <w:bookmarkStart w:name="z13" w:id="11"/>
    <w:p>
      <w:pPr>
        <w:spacing w:after="0"/>
        <w:ind w:left="0"/>
        <w:jc w:val="left"/>
      </w:pPr>
      <w:r>
        <w:rPr>
          <w:rFonts w:ascii="Times New Roman"/>
          <w:b/>
          <w:i w:val="false"/>
          <w:color w:val="000000"/>
        </w:rPr>
        <w:t xml:space="preserve">  № 2 норма. Халықты құлақтандырудың соңғы құрылғыларының тиесілілігі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құлақтандырудың соңғы құрылғыларының нормативтік тиесілілігі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көп қабатты құрылыс (9 қабат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радиуста құлақтандыру үшін (ауданы 0,8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 қабатты құрылыс (5-тен 9 қабатқа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радиуста құлақтандыру үшін (ауданы 2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аз қабатты және ауылдық құрылыс (1-3 қабатты үйлер, 5 қабатқа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 радиуста құлақтандыру үшін (ауданы 5,3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bl>
    <w:bookmarkStart w:name="z14" w:id="12"/>
    <w:p>
      <w:pPr>
        <w:spacing w:after="0"/>
        <w:ind w:left="0"/>
        <w:jc w:val="both"/>
      </w:pPr>
      <w:r>
        <w:rPr>
          <w:rFonts w:ascii="Times New Roman"/>
          <w:b w:val="false"/>
          <w:i w:val="false"/>
          <w:color w:val="000000"/>
          <w:sz w:val="28"/>
        </w:rPr>
        <w:t>
      Халықты құлақтандырудың соңғы құрылғыларының талап етілетін көлемдерінің есептеулері (қуаты 600 Вт–тан кем емес) үлгілік болып табылады және қолданылатын жабдықтың өндірушісінің моделіне, қосу схемаларына және басқару тәсілдеріне тәуелді емес.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