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e911" w14:textId="c83e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Қостанай облысы Ұзынкөл ауданы әкімдігінің 2025 жылғы 3 қазандағы № 113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Ұзынкөл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Қоғамдық жұмыстардың түрлері және қоғамдық жұмыстар орындалуға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2. "Ұзынкөл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Ұзынкөл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орындалуы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түрлері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Ұзынкөл ауылдық округі әкімінің аппараты"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тазалау және жинау.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кесу, отырғызу, 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Ғимараттың, қоршаудын ақтау,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Көгалдарды, шөптерды шабу.</w:t>
            </w:r>
          </w:p>
          <w:p>
            <w:pPr>
              <w:spacing w:after="20"/>
              <w:ind w:left="20"/>
              <w:jc w:val="both"/>
            </w:pPr>
            <w:r>
              <w:rPr>
                <w:rFonts w:ascii="Times New Roman"/>
                <w:b w:val="false"/>
                <w:i w:val="false"/>
                <w:color w:val="000000"/>
                <w:sz w:val="20"/>
              </w:rPr>
              <w:t>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ауданының Обаған ауылы әкімінің аппараты"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Сатай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