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cc55b" w14:textId="9dcc5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"Uplink" жауапкершілігі шектеулі серіктестігіне жер учаскесіне жария сервитут белгілеу туралы</w:t>
      </w:r>
    </w:p>
    <w:p>
      <w:pPr>
        <w:spacing w:after="0"/>
        <w:ind w:left="0"/>
        <w:jc w:val="both"/>
      </w:pPr>
      <w:r>
        <w:rPr>
          <w:rFonts w:ascii="Times New Roman"/>
          <w:b w:val="false"/>
          <w:i w:val="false"/>
          <w:color w:val="000000"/>
          <w:sz w:val="28"/>
        </w:rPr>
        <w:t>Қостанай облысы Қостанай ауданы Мичурин ауылдық округі әкімінің 2025 жылғы 31 қазандағы № 13 шешімі</w:t>
      </w:r>
    </w:p>
    <w:p>
      <w:pPr>
        <w:spacing w:after="0"/>
        <w:ind w:left="0"/>
        <w:jc w:val="both"/>
      </w:pPr>
      <w:bookmarkStart w:name="z4" w:id="0"/>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Қостанай ауданының Мичурин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"Uplink" жауапкершілігі шектеулі серіктестігіне аумақта орналасқан ауданы 0,7223 гектар бөлінбейтін жер учаскесіне шектеулі нысаналы жер пайдалану құқығы (жария сервитут) белгіленсін Қостанай облысы, Қостанай ауданы, Мичурин ауылдық округі, Алтынсарин ауылы, Садовое ауылы ТОБЖ жобалау, салу және пайдалану үшін.</w:t>
      </w:r>
    </w:p>
    <w:bookmarkEnd w:id="1"/>
    <w:bookmarkStart w:name="z6" w:id="2"/>
    <w:p>
      <w:pPr>
        <w:spacing w:after="0"/>
        <w:ind w:left="0"/>
        <w:jc w:val="both"/>
      </w:pPr>
      <w:r>
        <w:rPr>
          <w:rFonts w:ascii="Times New Roman"/>
          <w:b w:val="false"/>
          <w:i w:val="false"/>
          <w:color w:val="000000"/>
          <w:sz w:val="28"/>
        </w:rPr>
        <w:t>
      2. "Қостанай ауданының Мичурин ауылдық округі әкімінің аппараты"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шешімнің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Қостанай ауданы әкімдігінің интернет - ресурсында орналастыруы қамтамасыз етілсін.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Мичурин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Майшин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