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563d" w14:textId="1c45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бойынша жайылымдарды геоботаникалық зерттеу негізінде жайылым айналымдарының 2025-2029 жылдарға арналған схемаларын бекіту туралы</w:t>
      </w:r>
    </w:p>
    <w:p>
      <w:pPr>
        <w:spacing w:after="0"/>
        <w:ind w:left="0"/>
        <w:jc w:val="both"/>
      </w:pPr>
      <w:r>
        <w:rPr>
          <w:rFonts w:ascii="Times New Roman"/>
          <w:b w:val="false"/>
          <w:i w:val="false"/>
          <w:color w:val="000000"/>
          <w:sz w:val="28"/>
        </w:rPr>
        <w:t>Қостанай облысы Қостанай ауданы әкімдігінің 2025 жылғы 15 тамыздағы № 537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w:t>
      </w:r>
      <w:r>
        <w:rPr>
          <w:rFonts w:ascii="Times New Roman"/>
          <w:b w:val="false"/>
          <w:i w:val="false"/>
          <w:color w:val="000000"/>
          <w:sz w:val="28"/>
        </w:rPr>
        <w:t xml:space="preserve"> 1 - тармағының 10) тармақшасына, "Жайылымдар туралы" Қазақстан Республикасы Заңының </w:t>
      </w:r>
      <w:r>
        <w:rPr>
          <w:rFonts w:ascii="Times New Roman"/>
          <w:b w:val="false"/>
          <w:i w:val="false"/>
          <w:color w:val="000000"/>
          <w:sz w:val="28"/>
        </w:rPr>
        <w:t>9 - бабы</w:t>
      </w:r>
      <w:r>
        <w:rPr>
          <w:rFonts w:ascii="Times New Roman"/>
          <w:b w:val="false"/>
          <w:i w:val="false"/>
          <w:color w:val="000000"/>
          <w:sz w:val="28"/>
        </w:rPr>
        <w:t xml:space="preserve"> 1 - тармағының 3) тармақшасына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1. Қостанай ауданы бойынша жайылымдарды геоботаникалық зерттеу негізінде жайылым айналымдарының 2025-2029 жылдарға арналған схемалары осы қаулының қосымшаларына сәйкес бекітілсін.</w:t>
      </w:r>
    </w:p>
    <w:bookmarkEnd w:id="1"/>
    <w:bookmarkStart w:name="z6" w:id="2"/>
    <w:p>
      <w:pPr>
        <w:spacing w:after="0"/>
        <w:ind w:left="0"/>
        <w:jc w:val="both"/>
      </w:pPr>
      <w:r>
        <w:rPr>
          <w:rFonts w:ascii="Times New Roman"/>
          <w:b w:val="false"/>
          <w:i w:val="false"/>
          <w:color w:val="000000"/>
          <w:sz w:val="28"/>
        </w:rPr>
        <w:t>
      2. Қостанай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Қостанай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ресми жарияланғаннан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16" w:id="7"/>
    <w:p>
      <w:pPr>
        <w:spacing w:after="0"/>
        <w:ind w:left="0"/>
        <w:jc w:val="left"/>
      </w:pPr>
      <w:r>
        <w:rPr>
          <w:rFonts w:ascii="Times New Roman"/>
          <w:b/>
          <w:i w:val="false"/>
          <w:color w:val="000000"/>
        </w:rPr>
        <w:t xml:space="preserve"> 2025-2029 жылдарға арналған жайылымдарды геоботаникалық зерттеу негізінде жайылым айналымының схемасы</w:t>
      </w:r>
    </w:p>
    <w:bookmarkEnd w:id="7"/>
    <w:bookmarkStart w:name="z17"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 маусымы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маусымы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 қоршауы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 қоршауы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 маусымы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маусымы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22" w:id="9"/>
    <w:p>
      <w:pPr>
        <w:spacing w:after="0"/>
        <w:ind w:left="0"/>
        <w:jc w:val="left"/>
      </w:pPr>
      <w:r>
        <w:rPr>
          <w:rFonts w:ascii="Times New Roman"/>
          <w:b/>
          <w:i w:val="false"/>
          <w:color w:val="000000"/>
        </w:rPr>
        <w:t xml:space="preserve"> Жайылымдардың, оның ішінде маусымдық жайылымдық инфрақұрылым объектілерінің сыртқы және ішкі шекаралары мен алаңдарын белгілей отырып, жайылым айналымдарының схемасы</w:t>
      </w:r>
    </w:p>
    <w:bookmarkEnd w:id="9"/>
    <w:bookmarkStart w:name="z23"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302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025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11"/>
    <w:p>
      <w:pPr>
        <w:spacing w:after="0"/>
        <w:ind w:left="0"/>
        <w:jc w:val="both"/>
      </w:pPr>
      <w:r>
        <w:rPr>
          <w:rFonts w:ascii="Times New Roman"/>
          <w:b w:val="false"/>
          <w:i w:val="false"/>
          <w:color w:val="000000"/>
          <w:sz w:val="28"/>
        </w:rPr>
        <w:t>
      Қостанай ауданы бойынша маусымдық жайылымдардың ауданы 228 811,4 гектарды құрайды, оның ішінде:</w:t>
      </w:r>
    </w:p>
    <w:bookmarkEnd w:id="11"/>
    <w:bookmarkStart w:name="z25" w:id="12"/>
    <w:p>
      <w:pPr>
        <w:spacing w:after="0"/>
        <w:ind w:left="0"/>
        <w:jc w:val="both"/>
      </w:pPr>
      <w:r>
        <w:rPr>
          <w:rFonts w:ascii="Times New Roman"/>
          <w:b w:val="false"/>
          <w:i w:val="false"/>
          <w:color w:val="000000"/>
          <w:sz w:val="28"/>
        </w:rPr>
        <w:t>
      ауыл шаруашылығы мақсатындағы жерлерде 136121,3 гектар;</w:t>
      </w:r>
    </w:p>
    <w:bookmarkEnd w:id="12"/>
    <w:bookmarkStart w:name="z26" w:id="13"/>
    <w:p>
      <w:pPr>
        <w:spacing w:after="0"/>
        <w:ind w:left="0"/>
        <w:jc w:val="both"/>
      </w:pPr>
      <w:r>
        <w:rPr>
          <w:rFonts w:ascii="Times New Roman"/>
          <w:b w:val="false"/>
          <w:i w:val="false"/>
          <w:color w:val="000000"/>
          <w:sz w:val="28"/>
        </w:rPr>
        <w:t>
      елді мекендердің жерлерінде 56795,1 гектар;</w:t>
      </w:r>
    </w:p>
    <w:bookmarkEnd w:id="13"/>
    <w:bookmarkStart w:name="z27" w:id="14"/>
    <w:p>
      <w:pPr>
        <w:spacing w:after="0"/>
        <w:ind w:left="0"/>
        <w:jc w:val="both"/>
      </w:pPr>
      <w:r>
        <w:rPr>
          <w:rFonts w:ascii="Times New Roman"/>
          <w:b w:val="false"/>
          <w:i w:val="false"/>
          <w:color w:val="000000"/>
          <w:sz w:val="28"/>
        </w:rPr>
        <w:t>
      өнеркәсіп жерлерінде 10315,9 гектар;</w:t>
      </w:r>
    </w:p>
    <w:bookmarkEnd w:id="14"/>
    <w:bookmarkStart w:name="z28" w:id="15"/>
    <w:p>
      <w:pPr>
        <w:spacing w:after="0"/>
        <w:ind w:left="0"/>
        <w:jc w:val="both"/>
      </w:pPr>
      <w:r>
        <w:rPr>
          <w:rFonts w:ascii="Times New Roman"/>
          <w:b w:val="false"/>
          <w:i w:val="false"/>
          <w:color w:val="000000"/>
          <w:sz w:val="28"/>
        </w:rPr>
        <w:t>
      орман қоры жерлерінде 2603,5 гектар;</w:t>
      </w:r>
    </w:p>
    <w:bookmarkEnd w:id="15"/>
    <w:bookmarkStart w:name="z29" w:id="16"/>
    <w:p>
      <w:pPr>
        <w:spacing w:after="0"/>
        <w:ind w:left="0"/>
        <w:jc w:val="both"/>
      </w:pPr>
      <w:r>
        <w:rPr>
          <w:rFonts w:ascii="Times New Roman"/>
          <w:b w:val="false"/>
          <w:i w:val="false"/>
          <w:color w:val="000000"/>
          <w:sz w:val="28"/>
        </w:rPr>
        <w:t>
      қор жерлерінде 22929 гектар;</w:t>
      </w:r>
    </w:p>
    <w:bookmarkEnd w:id="16"/>
    <w:bookmarkStart w:name="z30" w:id="17"/>
    <w:p>
      <w:pPr>
        <w:spacing w:after="0"/>
        <w:ind w:left="0"/>
        <w:jc w:val="both"/>
      </w:pPr>
      <w:r>
        <w:rPr>
          <w:rFonts w:ascii="Times New Roman"/>
          <w:b w:val="false"/>
          <w:i w:val="false"/>
          <w:color w:val="000000"/>
          <w:sz w:val="28"/>
        </w:rPr>
        <w:t>
      рекреациялық маңызы бар жерлерде 10,6 гектар;</w:t>
      </w:r>
    </w:p>
    <w:bookmarkEnd w:id="17"/>
    <w:bookmarkStart w:name="z31" w:id="18"/>
    <w:p>
      <w:pPr>
        <w:spacing w:after="0"/>
        <w:ind w:left="0"/>
        <w:jc w:val="both"/>
      </w:pPr>
      <w:r>
        <w:rPr>
          <w:rFonts w:ascii="Times New Roman"/>
          <w:b w:val="false"/>
          <w:i w:val="false"/>
          <w:color w:val="000000"/>
          <w:sz w:val="28"/>
        </w:rPr>
        <w:t>
      су қоры жерлерінде 36 гектар.</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