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33be" w14:textId="fd53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Көктал ауылы әкімінің 2025 жылғы 11 қарашадағы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2025 жылғы 04 қарашадағы № 23 Әулиекөл ауданы жер учаскелерін беру жөніндегі комиссияның отырыс хаттамасынан үзінді көшірмесінің негізінде Әулиекөл ауданы Көктал ауылының әкімі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Көктал ауылының аумағында орналасқан, ауданы – 2028,4648 гектар жер учаскесіне Көктал кен орнында қатты пайдалы қазбаларды барлау жұмыстарын жүргізу үшін "Алюминий Казахстана" АҚ қауымдық сервитут белгіленсін.</w:t>
      </w:r>
    </w:p>
    <w:bookmarkEnd w:id="1"/>
    <w:bookmarkStart w:name="z6" w:id="2"/>
    <w:p>
      <w:pPr>
        <w:spacing w:after="0"/>
        <w:ind w:left="0"/>
        <w:jc w:val="both"/>
      </w:pPr>
      <w:r>
        <w:rPr>
          <w:rFonts w:ascii="Times New Roman"/>
          <w:b w:val="false"/>
          <w:i w:val="false"/>
          <w:color w:val="000000"/>
          <w:sz w:val="28"/>
        </w:rPr>
        <w:t>
      2. "Көктал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"Көктал ауылы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